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A94A6A" w14:textId="743D944A" w:rsidR="00BA4030" w:rsidRPr="00445FAF" w:rsidRDefault="00BA4030">
      <w:pPr>
        <w:pStyle w:val="CourtName"/>
        <w:rPr>
          <w:rStyle w:val="CourtNameChar"/>
          <w:rFonts w:ascii="Charter" w:hAnsi="Charter" w:cstheme="majorHAnsi"/>
          <w:sz w:val="24"/>
          <w:szCs w:val="24"/>
        </w:rPr>
      </w:pPr>
    </w:p>
    <w:p w14:paraId="796EDD2E" w14:textId="77777777" w:rsidR="00ED375A" w:rsidRPr="00445FAF" w:rsidRDefault="00ED375A">
      <w:pPr>
        <w:pStyle w:val="CourtName"/>
        <w:rPr>
          <w:rStyle w:val="CourtNameChar"/>
          <w:rFonts w:ascii="Charter" w:hAnsi="Charter"/>
          <w:caps/>
          <w:sz w:val="24"/>
          <w:szCs w:val="24"/>
        </w:rPr>
      </w:pPr>
    </w:p>
    <w:p w14:paraId="149FAA11" w14:textId="77777777" w:rsidR="0068430D" w:rsidRPr="00445FAF" w:rsidRDefault="0068430D">
      <w:pPr>
        <w:pStyle w:val="CourtName"/>
        <w:rPr>
          <w:rStyle w:val="CourtNameChar"/>
          <w:rFonts w:ascii="Charter" w:hAnsi="Charter"/>
          <w:caps/>
          <w:sz w:val="24"/>
          <w:szCs w:val="24"/>
        </w:rPr>
      </w:pPr>
    </w:p>
    <w:p w14:paraId="1B864E3B" w14:textId="77777777" w:rsidR="0068430D" w:rsidRPr="00445FAF" w:rsidRDefault="0068430D">
      <w:pPr>
        <w:pStyle w:val="CourtName"/>
        <w:rPr>
          <w:rStyle w:val="CourtNameChar"/>
          <w:rFonts w:ascii="Charter" w:hAnsi="Charter"/>
          <w:caps/>
          <w:sz w:val="24"/>
          <w:szCs w:val="24"/>
        </w:rPr>
      </w:pPr>
    </w:p>
    <w:p w14:paraId="1AFDF704" w14:textId="77777777" w:rsidR="0068430D" w:rsidRPr="00445FAF" w:rsidRDefault="0068430D">
      <w:pPr>
        <w:pStyle w:val="CourtName"/>
        <w:rPr>
          <w:rStyle w:val="CourtNameChar"/>
          <w:rFonts w:ascii="Charter" w:hAnsi="Charter"/>
          <w:caps/>
          <w:sz w:val="24"/>
          <w:szCs w:val="24"/>
        </w:rPr>
      </w:pPr>
    </w:p>
    <w:p w14:paraId="656A8076" w14:textId="77777777" w:rsidR="0068430D" w:rsidRPr="00445FAF" w:rsidRDefault="0068430D" w:rsidP="009A303F">
      <w:pPr>
        <w:pStyle w:val="CourtName"/>
        <w:spacing w:line="240" w:lineRule="auto"/>
        <w:rPr>
          <w:rStyle w:val="CourtNameChar"/>
          <w:rFonts w:ascii="Charter" w:hAnsi="Charter"/>
          <w:caps/>
          <w:sz w:val="24"/>
          <w:szCs w:val="24"/>
        </w:rPr>
      </w:pPr>
    </w:p>
    <w:p w14:paraId="00637F17" w14:textId="12020689" w:rsidR="009F0E74" w:rsidRPr="00445FAF" w:rsidRDefault="009E1410" w:rsidP="009A303F">
      <w:pPr>
        <w:pStyle w:val="CourtName"/>
        <w:spacing w:line="240" w:lineRule="auto"/>
        <w:rPr>
          <w:rStyle w:val="CourtNameChar"/>
          <w:rFonts w:ascii="Charter" w:hAnsi="Charter"/>
          <w:caps/>
          <w:sz w:val="24"/>
          <w:szCs w:val="24"/>
        </w:rPr>
      </w:pPr>
      <w:r w:rsidRPr="00445FAF">
        <w:rPr>
          <w:rStyle w:val="CourtNameChar"/>
          <w:rFonts w:ascii="Charter" w:hAnsi="Charter"/>
          <w:caps/>
          <w:sz w:val="24"/>
          <w:szCs w:val="24"/>
        </w:rPr>
        <w:t xml:space="preserve">IN THE SUPERIOR COURT OF </w:t>
      </w:r>
      <w:r w:rsidR="00EF1EAE" w:rsidRPr="00445FAF">
        <w:rPr>
          <w:rStyle w:val="CourtNameChar"/>
          <w:rFonts w:ascii="Charter" w:hAnsi="Charter"/>
          <w:caps/>
          <w:sz w:val="24"/>
          <w:szCs w:val="24"/>
        </w:rPr>
        <w:t xml:space="preserve">THE STATE OF WASHINGTON </w:t>
      </w:r>
    </w:p>
    <w:p w14:paraId="72C179BA" w14:textId="17351D58" w:rsidR="00EF1EAE" w:rsidRPr="00445FAF" w:rsidRDefault="00EF1EAE" w:rsidP="009A303F">
      <w:pPr>
        <w:pStyle w:val="CourtName"/>
        <w:spacing w:line="240" w:lineRule="auto"/>
        <w:rPr>
          <w:rStyle w:val="CourtNameChar"/>
          <w:rFonts w:ascii="Charter" w:hAnsi="Charter"/>
          <w:caps/>
          <w:sz w:val="24"/>
          <w:szCs w:val="24"/>
        </w:rPr>
      </w:pPr>
      <w:r w:rsidRPr="00445FAF">
        <w:rPr>
          <w:rStyle w:val="CourtNameChar"/>
          <w:rFonts w:ascii="Charter" w:hAnsi="Charter"/>
          <w:caps/>
          <w:sz w:val="24"/>
          <w:szCs w:val="24"/>
        </w:rPr>
        <w:t>FOR THE COUNTY OF KING</w:t>
      </w:r>
    </w:p>
    <w:p w14:paraId="040F4BFB" w14:textId="2EB33B38" w:rsidR="009F0E74" w:rsidRPr="00445FAF" w:rsidRDefault="009F0E74" w:rsidP="00C11B64">
      <w:pPr>
        <w:pStyle w:val="CourtName"/>
        <w:jc w:val="left"/>
        <w:rPr>
          <w:rStyle w:val="CourtNameChar"/>
          <w:rFonts w:ascii="Charter" w:hAnsi="Charter"/>
          <w:caps/>
          <w:sz w:val="24"/>
          <w:szCs w:val="24"/>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365"/>
        <w:gridCol w:w="4365"/>
      </w:tblGrid>
      <w:tr w:rsidR="009F0E74" w:rsidRPr="00445FAF" w14:paraId="258EF4CB" w14:textId="77777777" w:rsidTr="4717BB7F">
        <w:tc>
          <w:tcPr>
            <w:tcW w:w="2500" w:type="pct"/>
            <w:tcBorders>
              <w:bottom w:val="single" w:sz="4" w:space="0" w:color="auto"/>
              <w:right w:val="single" w:sz="4" w:space="0" w:color="auto"/>
            </w:tcBorders>
          </w:tcPr>
          <w:p w14:paraId="59E29F9F" w14:textId="1495FE8F" w:rsidR="009F0E74" w:rsidRPr="00445FAF" w:rsidRDefault="009E1410">
            <w:pPr>
              <w:pStyle w:val="Parties"/>
              <w:rPr>
                <w:rFonts w:ascii="Charter" w:hAnsi="Charter"/>
                <w:sz w:val="24"/>
                <w:szCs w:val="24"/>
              </w:rPr>
            </w:pPr>
            <w:r w:rsidRPr="00445FAF">
              <w:rPr>
                <w:rStyle w:val="PartiesChar"/>
                <w:rFonts w:ascii="Charter" w:hAnsi="Charter"/>
                <w:sz w:val="24"/>
                <w:szCs w:val="24"/>
              </w:rPr>
              <w:t>STATE OF WASHINGTON</w:t>
            </w:r>
            <w:r w:rsidR="00FE2E3F" w:rsidRPr="00445FAF">
              <w:rPr>
                <w:rFonts w:ascii="Charter" w:hAnsi="Charter"/>
                <w:sz w:val="24"/>
                <w:szCs w:val="24"/>
              </w:rPr>
              <w:t>,</w:t>
            </w:r>
          </w:p>
          <w:p w14:paraId="66126AE4" w14:textId="77777777" w:rsidR="009F0E74" w:rsidRPr="00445FAF" w:rsidRDefault="00CD2B7F">
            <w:pPr>
              <w:rPr>
                <w:rFonts w:ascii="Charter" w:hAnsi="Charter"/>
                <w:sz w:val="24"/>
                <w:szCs w:val="24"/>
              </w:rPr>
            </w:pPr>
            <w:sdt>
              <w:sdtPr>
                <w:rPr>
                  <w:rFonts w:ascii="Charter" w:hAnsi="Charter"/>
                  <w:sz w:val="24"/>
                  <w:szCs w:val="24"/>
                </w:rPr>
                <w:alias w:val="Plaintiff:"/>
                <w:tag w:val="Plaintiff:"/>
                <w:id w:val="1770352397"/>
                <w:placeholder>
                  <w:docPart w:val="025938455EE143D1A606A6BB2296F805"/>
                </w:placeholder>
                <w:temporary/>
                <w:showingPlcHdr/>
                <w15:appearance w15:val="hidden"/>
              </w:sdtPr>
              <w:sdtEndPr/>
              <w:sdtContent>
                <w:r w:rsidR="00AE557D" w:rsidRPr="00445FAF">
                  <w:rPr>
                    <w:rFonts w:ascii="Charter" w:hAnsi="Charter"/>
                    <w:sz w:val="24"/>
                    <w:szCs w:val="24"/>
                  </w:rPr>
                  <w:t>Plaintiff</w:t>
                </w:r>
              </w:sdtContent>
            </w:sdt>
            <w:r w:rsidR="00FE2E3F" w:rsidRPr="00445FAF">
              <w:rPr>
                <w:rFonts w:ascii="Charter" w:hAnsi="Charter"/>
                <w:sz w:val="24"/>
                <w:szCs w:val="24"/>
              </w:rPr>
              <w:t>,</w:t>
            </w:r>
          </w:p>
          <w:p w14:paraId="6B9B9580" w14:textId="77777777" w:rsidR="009F0E74" w:rsidRPr="00445FAF" w:rsidRDefault="00CD2B7F">
            <w:pPr>
              <w:ind w:firstLine="0"/>
              <w:jc w:val="both"/>
              <w:rPr>
                <w:rFonts w:ascii="Charter" w:hAnsi="Charter"/>
                <w:sz w:val="24"/>
                <w:szCs w:val="24"/>
              </w:rPr>
            </w:pPr>
            <w:sdt>
              <w:sdtPr>
                <w:rPr>
                  <w:rFonts w:ascii="Charter" w:hAnsi="Charter"/>
                  <w:sz w:val="24"/>
                  <w:szCs w:val="24"/>
                </w:rPr>
                <w:alias w:val="vs:"/>
                <w:tag w:val="vs:"/>
                <w:id w:val="14735861"/>
                <w:placeholder>
                  <w:docPart w:val="F2A7BF7D9CA840FCAC679AC6722E1041"/>
                </w:placeholder>
                <w:temporary/>
                <w:showingPlcHdr/>
                <w15:appearance w15:val="hidden"/>
              </w:sdtPr>
              <w:sdtEndPr/>
              <w:sdtContent>
                <w:r w:rsidR="00AE557D" w:rsidRPr="00445FAF">
                  <w:rPr>
                    <w:rFonts w:ascii="Charter" w:hAnsi="Charter"/>
                    <w:sz w:val="24"/>
                    <w:szCs w:val="24"/>
                  </w:rPr>
                  <w:t>vs</w:t>
                </w:r>
              </w:sdtContent>
            </w:sdt>
            <w:r w:rsidR="00FE2E3F" w:rsidRPr="00445FAF">
              <w:rPr>
                <w:rFonts w:ascii="Charter" w:hAnsi="Charter"/>
                <w:sz w:val="24"/>
                <w:szCs w:val="24"/>
              </w:rPr>
              <w:t>.</w:t>
            </w:r>
          </w:p>
          <w:p w14:paraId="4AC34630" w14:textId="1FCF3B9C" w:rsidR="009F0E74" w:rsidRPr="00445FAF" w:rsidRDefault="00A94F11">
            <w:pPr>
              <w:pStyle w:val="Parties"/>
              <w:rPr>
                <w:rFonts w:ascii="Charter" w:hAnsi="Charter"/>
                <w:sz w:val="24"/>
                <w:szCs w:val="24"/>
              </w:rPr>
            </w:pPr>
            <w:r w:rsidRPr="00445FAF">
              <w:rPr>
                <w:rFonts w:ascii="Charter" w:hAnsi="Charter"/>
                <w:caps w:val="0"/>
                <w:sz w:val="24"/>
                <w:szCs w:val="24"/>
              </w:rPr>
              <w:t>KEVIN DEJESUS CASTELLON</w:t>
            </w:r>
          </w:p>
          <w:p w14:paraId="40686E7D" w14:textId="77777777" w:rsidR="009F0E74" w:rsidRPr="00445FAF" w:rsidRDefault="00CD2B7F">
            <w:pPr>
              <w:spacing w:line="264" w:lineRule="auto"/>
              <w:rPr>
                <w:rFonts w:ascii="Charter" w:hAnsi="Charter"/>
                <w:sz w:val="24"/>
                <w:szCs w:val="24"/>
              </w:rPr>
            </w:pPr>
            <w:sdt>
              <w:sdtPr>
                <w:rPr>
                  <w:rFonts w:ascii="Charter" w:hAnsi="Charter"/>
                  <w:sz w:val="24"/>
                  <w:szCs w:val="24"/>
                </w:rPr>
                <w:alias w:val="Defendant:"/>
                <w:tag w:val="Defendant:"/>
                <w:id w:val="888303556"/>
                <w:placeholder>
                  <w:docPart w:val="9C990E7F7FF24D8F83E32239A2E7BEDE"/>
                </w:placeholder>
                <w:temporary/>
                <w:showingPlcHdr/>
                <w15:appearance w15:val="hidden"/>
              </w:sdtPr>
              <w:sdtEndPr/>
              <w:sdtContent>
                <w:r w:rsidR="00AE557D" w:rsidRPr="00445FAF">
                  <w:rPr>
                    <w:rFonts w:ascii="Charter" w:hAnsi="Charter"/>
                    <w:sz w:val="24"/>
                    <w:szCs w:val="24"/>
                  </w:rPr>
                  <w:t>Defendant</w:t>
                </w:r>
              </w:sdtContent>
            </w:sdt>
          </w:p>
        </w:tc>
        <w:tc>
          <w:tcPr>
            <w:tcW w:w="2500" w:type="pct"/>
            <w:tcBorders>
              <w:left w:val="nil"/>
            </w:tcBorders>
            <w:tcMar>
              <w:left w:w="115" w:type="dxa"/>
            </w:tcMar>
          </w:tcPr>
          <w:p w14:paraId="01637D18" w14:textId="10D0EFF3" w:rsidR="009F0E74" w:rsidRPr="00445FAF" w:rsidRDefault="00CD2B7F">
            <w:pPr>
              <w:pStyle w:val="CaseNo"/>
              <w:rPr>
                <w:rFonts w:ascii="Charter" w:hAnsi="Charter"/>
                <w:sz w:val="24"/>
                <w:szCs w:val="24"/>
              </w:rPr>
            </w:pPr>
            <w:sdt>
              <w:sdtPr>
                <w:rPr>
                  <w:rFonts w:ascii="Charter" w:hAnsi="Charter"/>
                  <w:sz w:val="24"/>
                  <w:szCs w:val="24"/>
                </w:rPr>
                <w:alias w:val="Case number:"/>
                <w:tag w:val="Case number:"/>
                <w:id w:val="404503710"/>
                <w:placeholder>
                  <w:docPart w:val="F8009354BD86418BB60BCDBDFF1DBA7B"/>
                </w:placeholder>
                <w:temporary/>
                <w:showingPlcHdr/>
                <w15:appearance w15:val="hidden"/>
              </w:sdtPr>
              <w:sdtEndPr/>
              <w:sdtContent>
                <w:r w:rsidR="00AE557D" w:rsidRPr="00445FAF">
                  <w:rPr>
                    <w:rFonts w:ascii="Charter" w:hAnsi="Charter"/>
                    <w:sz w:val="24"/>
                    <w:szCs w:val="24"/>
                  </w:rPr>
                  <w:t>Case No.</w:t>
                </w:r>
              </w:sdtContent>
            </w:sdt>
            <w:r w:rsidR="00FE2E3F" w:rsidRPr="00445FAF">
              <w:rPr>
                <w:rFonts w:ascii="Charter" w:hAnsi="Charter"/>
                <w:sz w:val="24"/>
                <w:szCs w:val="24"/>
              </w:rPr>
              <w:t>:</w:t>
            </w:r>
            <w:r w:rsidR="00E83789" w:rsidRPr="00445FAF">
              <w:rPr>
                <w:rFonts w:ascii="Charter" w:hAnsi="Charter"/>
                <w:sz w:val="24"/>
                <w:szCs w:val="24"/>
              </w:rPr>
              <w:t xml:space="preserve"> </w:t>
            </w:r>
            <w:r w:rsidR="00A94F11" w:rsidRPr="00445FAF">
              <w:rPr>
                <w:rStyle w:val="Hyperlink"/>
                <w:rFonts w:ascii="Charter" w:hAnsi="Charter" w:cs="Times New Roman"/>
                <w:color w:val="auto"/>
                <w:sz w:val="24"/>
                <w:szCs w:val="24"/>
                <w:u w:val="none"/>
              </w:rPr>
              <w:t>12-1-06054-8</w:t>
            </w:r>
          </w:p>
          <w:sdt>
            <w:sdtPr>
              <w:rPr>
                <w:rFonts w:ascii="Charter" w:hAnsi="Charter"/>
                <w:b/>
                <w:bCs/>
                <w:caps w:val="0"/>
                <w:sz w:val="24"/>
                <w:szCs w:val="24"/>
              </w:rPr>
              <w:alias w:val="Enter pleading title:"/>
              <w:tag w:val=""/>
              <w:id w:val="1390306954"/>
              <w:placeholder>
                <w:docPart w:val="8F64031DE42346C58B0B07BAD4FB0C63"/>
              </w:placeholder>
              <w:dataBinding w:prefixMappings="xmlns:ns0='http://purl.org/dc/elements/1.1/' xmlns:ns1='http://schemas.openxmlformats.org/package/2006/metadata/core-properties' " w:xpath="/ns1:coreProperties[1]/ns0:title[1]" w:storeItemID="{6C3C8BC8-F283-45AE-878A-BAB7291924A1}"/>
              <w15:appearance w15:val="hidden"/>
              <w:text w:multiLine="1"/>
            </w:sdtPr>
            <w:sdtEndPr/>
            <w:sdtContent>
              <w:p w14:paraId="60C2A05D" w14:textId="56932CDF" w:rsidR="009F0E74" w:rsidRPr="00445FAF" w:rsidRDefault="00F65109" w:rsidP="00C03678">
                <w:pPr>
                  <w:pStyle w:val="Pleadingtitle"/>
                  <w:jc w:val="both"/>
                  <w:rPr>
                    <w:rFonts w:ascii="Charter" w:hAnsi="Charter"/>
                    <w:sz w:val="24"/>
                    <w:szCs w:val="24"/>
                  </w:rPr>
                </w:pPr>
                <w:r w:rsidRPr="00445FAF">
                  <w:rPr>
                    <w:rFonts w:ascii="Charter" w:hAnsi="Charter"/>
                    <w:b/>
                    <w:bCs/>
                    <w:caps w:val="0"/>
                    <w:sz w:val="24"/>
                    <w:szCs w:val="24"/>
                  </w:rPr>
                  <w:t>REPLY TO STATE’S RESPONSE TO DEFENDANT’S MOTION FOR RELIEF FROM JUDGMENT PURSUANT TO CRR 7.8 AND STATE’S MOTION FOR STAY OF PROCEEDINGS</w:t>
                </w:r>
              </w:p>
            </w:sdtContent>
          </w:sdt>
        </w:tc>
      </w:tr>
    </w:tbl>
    <w:p w14:paraId="54AB0760" w14:textId="7984C553" w:rsidR="008F454C" w:rsidRDefault="008F454C" w:rsidP="008F454C">
      <w:pPr>
        <w:ind w:firstLine="0"/>
        <w:jc w:val="both"/>
        <w:rPr>
          <w:rFonts w:ascii="Charter" w:hAnsi="Charter"/>
          <w:sz w:val="24"/>
          <w:szCs w:val="24"/>
        </w:rPr>
      </w:pPr>
    </w:p>
    <w:p w14:paraId="38B9716A" w14:textId="6D1A6942" w:rsidR="002E7E26" w:rsidRDefault="002E7E26" w:rsidP="002E7E26">
      <w:pPr>
        <w:ind w:firstLine="720"/>
        <w:jc w:val="both"/>
        <w:rPr>
          <w:rFonts w:ascii="Charter" w:hAnsi="Charter"/>
          <w:sz w:val="24"/>
          <w:szCs w:val="24"/>
        </w:rPr>
      </w:pPr>
      <w:r>
        <w:rPr>
          <w:rFonts w:ascii="Charter" w:hAnsi="Charter"/>
          <w:sz w:val="24"/>
          <w:szCs w:val="24"/>
        </w:rPr>
        <w:t xml:space="preserve">The holding in </w:t>
      </w:r>
      <w:r>
        <w:rPr>
          <w:rFonts w:ascii="Charter" w:hAnsi="Charter"/>
          <w:i/>
          <w:iCs/>
          <w:sz w:val="24"/>
          <w:szCs w:val="24"/>
        </w:rPr>
        <w:t>Houston-Sconiers</w:t>
      </w:r>
      <w:r>
        <w:rPr>
          <w:rFonts w:ascii="Charter" w:hAnsi="Charter"/>
          <w:sz w:val="24"/>
          <w:szCs w:val="24"/>
        </w:rPr>
        <w:t xml:space="preserve"> cemented the decade-long scientific adaptations in court </w:t>
      </w:r>
      <w:r w:rsidR="00F43A13">
        <w:rPr>
          <w:rFonts w:ascii="Charter" w:hAnsi="Charter"/>
          <w:sz w:val="24"/>
          <w:szCs w:val="24"/>
        </w:rPr>
        <w:t xml:space="preserve">understanding of children’s neurological development, </w:t>
      </w:r>
      <w:r>
        <w:rPr>
          <w:rFonts w:ascii="Charter" w:hAnsi="Charter"/>
          <w:sz w:val="24"/>
          <w:szCs w:val="24"/>
        </w:rPr>
        <w:t xml:space="preserve">underscoring a need to regard the culpability and potential of rehabilitation of children instead of sentencing them as if they were merely small adults. </w:t>
      </w:r>
    </w:p>
    <w:p w14:paraId="3D40CB72" w14:textId="5F8F4CA1" w:rsidR="002E7E26" w:rsidRPr="00605163" w:rsidRDefault="002E7E26" w:rsidP="002E7E26">
      <w:pPr>
        <w:ind w:firstLine="720"/>
        <w:jc w:val="both"/>
        <w:rPr>
          <w:rFonts w:ascii="Charter" w:hAnsi="Charter"/>
          <w:sz w:val="24"/>
          <w:szCs w:val="24"/>
        </w:rPr>
      </w:pPr>
      <w:r>
        <w:rPr>
          <w:rFonts w:ascii="Charter" w:hAnsi="Charter"/>
          <w:sz w:val="24"/>
          <w:szCs w:val="24"/>
        </w:rPr>
        <w:t xml:space="preserve">As much as the </w:t>
      </w:r>
      <w:r w:rsidR="00F43A13">
        <w:rPr>
          <w:rFonts w:ascii="Charter" w:hAnsi="Charter"/>
          <w:sz w:val="24"/>
          <w:szCs w:val="24"/>
        </w:rPr>
        <w:t>s</w:t>
      </w:r>
      <w:r>
        <w:rPr>
          <w:rFonts w:ascii="Charter" w:hAnsi="Charter"/>
          <w:sz w:val="24"/>
          <w:szCs w:val="24"/>
        </w:rPr>
        <w:t xml:space="preserve">tate seeks to portray </w:t>
      </w:r>
      <w:r>
        <w:rPr>
          <w:rFonts w:ascii="Charter" w:hAnsi="Charter"/>
          <w:i/>
          <w:iCs/>
          <w:sz w:val="24"/>
          <w:szCs w:val="24"/>
        </w:rPr>
        <w:t xml:space="preserve">Houston-Sconiers </w:t>
      </w:r>
      <w:r>
        <w:rPr>
          <w:rFonts w:ascii="Charter" w:hAnsi="Charter"/>
          <w:sz w:val="24"/>
          <w:szCs w:val="24"/>
        </w:rPr>
        <w:t xml:space="preserve">and its progeny as hardly modifying the process necessary for deciding Castellon’s sentence, the fact </w:t>
      </w:r>
      <w:r>
        <w:rPr>
          <w:rFonts w:ascii="Charter" w:hAnsi="Charter"/>
          <w:sz w:val="24"/>
          <w:szCs w:val="24"/>
        </w:rPr>
        <w:lastRenderedPageBreak/>
        <w:t xml:space="preserve">remains that the law regarding </w:t>
      </w:r>
      <w:r w:rsidR="00F43A13">
        <w:rPr>
          <w:rFonts w:ascii="Charter" w:hAnsi="Charter"/>
          <w:sz w:val="24"/>
          <w:szCs w:val="24"/>
        </w:rPr>
        <w:t xml:space="preserve">the </w:t>
      </w:r>
      <w:r>
        <w:rPr>
          <w:rFonts w:ascii="Charter" w:hAnsi="Charter"/>
          <w:sz w:val="24"/>
          <w:szCs w:val="24"/>
        </w:rPr>
        <w:t xml:space="preserve">treatment of juveniles has changed dramatically since Castellon was sentenced before this Court some eight years ago. </w:t>
      </w:r>
    </w:p>
    <w:p w14:paraId="79C9A961" w14:textId="4389B36F" w:rsidR="002E7E26" w:rsidRDefault="002E7E26" w:rsidP="002E7E26">
      <w:pPr>
        <w:ind w:firstLine="720"/>
        <w:jc w:val="both"/>
        <w:rPr>
          <w:rFonts w:ascii="Charter" w:hAnsi="Charter" w:cs="Times New Roman"/>
          <w:sz w:val="24"/>
          <w:szCs w:val="24"/>
        </w:rPr>
      </w:pPr>
      <w:r w:rsidRPr="00BB3CEA">
        <w:rPr>
          <w:rFonts w:ascii="Charter" w:hAnsi="Charter" w:cs="Times New Roman"/>
          <w:sz w:val="24"/>
          <w:szCs w:val="24"/>
        </w:rPr>
        <w:t>I</w:t>
      </w:r>
      <w:r>
        <w:rPr>
          <w:rFonts w:ascii="Charter" w:hAnsi="Charter" w:cs="Times New Roman"/>
          <w:sz w:val="24"/>
          <w:szCs w:val="24"/>
        </w:rPr>
        <w:t>n fact, if</w:t>
      </w:r>
      <w:r w:rsidRPr="00BB3CEA">
        <w:rPr>
          <w:rFonts w:ascii="Charter" w:hAnsi="Charter" w:cs="Times New Roman"/>
          <w:sz w:val="24"/>
          <w:szCs w:val="24"/>
        </w:rPr>
        <w:t xml:space="preserve"> prosecuted today, Mr. Castellon's original crimes would not automatically subject him to adult court nor would there be a discretionary decline hearing. When he was 17 years old, Mr. Castellon was charged with </w:t>
      </w:r>
      <w:r w:rsidR="00F43A13">
        <w:rPr>
          <w:rFonts w:ascii="Charter" w:hAnsi="Charter" w:cs="Times New Roman"/>
          <w:sz w:val="24"/>
          <w:szCs w:val="24"/>
        </w:rPr>
        <w:t>three</w:t>
      </w:r>
      <w:r w:rsidR="00F43A13" w:rsidRPr="00BB3CEA">
        <w:rPr>
          <w:rFonts w:ascii="Charter" w:hAnsi="Charter" w:cs="Times New Roman"/>
          <w:sz w:val="24"/>
          <w:szCs w:val="24"/>
        </w:rPr>
        <w:t xml:space="preserve"> </w:t>
      </w:r>
      <w:r w:rsidRPr="00BB3CEA">
        <w:rPr>
          <w:rFonts w:ascii="Charter" w:hAnsi="Charter" w:cs="Times New Roman"/>
          <w:sz w:val="24"/>
          <w:szCs w:val="24"/>
        </w:rPr>
        <w:t xml:space="preserve">counts of first-degree robbery and first-degree burglary. </w:t>
      </w:r>
      <w:r w:rsidR="00E24DD2">
        <w:rPr>
          <w:rFonts w:ascii="Charter" w:hAnsi="Charter" w:cs="Times New Roman"/>
          <w:sz w:val="24"/>
          <w:szCs w:val="24"/>
        </w:rPr>
        <w:t>He</w:t>
      </w:r>
      <w:r w:rsidRPr="00BB3CEA">
        <w:rPr>
          <w:rFonts w:ascii="Charter" w:hAnsi="Charter" w:cs="Times New Roman"/>
          <w:sz w:val="24"/>
          <w:szCs w:val="24"/>
        </w:rPr>
        <w:t xml:space="preserve"> was subject to the exclusive jurisdiction of the adult court because, </w:t>
      </w:r>
      <w:r w:rsidR="00E24DD2">
        <w:rPr>
          <w:rFonts w:ascii="Charter" w:hAnsi="Charter" w:cs="Times New Roman"/>
          <w:sz w:val="24"/>
          <w:szCs w:val="24"/>
        </w:rPr>
        <w:t>at the time</w:t>
      </w:r>
      <w:r w:rsidRPr="00BB3CEA">
        <w:rPr>
          <w:rFonts w:ascii="Charter" w:hAnsi="Charter" w:cs="Times New Roman"/>
          <w:sz w:val="24"/>
          <w:szCs w:val="24"/>
        </w:rPr>
        <w:t xml:space="preserve">, robbery 1 required auto-decline of juvenile court jurisdiction for youth ages 16-17. Dkt 1. </w:t>
      </w:r>
    </w:p>
    <w:p w14:paraId="4873EDB1" w14:textId="651192FC" w:rsidR="002E7E26" w:rsidRDefault="002E7E26" w:rsidP="002E7E26">
      <w:pPr>
        <w:ind w:firstLine="720"/>
        <w:jc w:val="both"/>
        <w:rPr>
          <w:rFonts w:ascii="Charter" w:hAnsi="Charter" w:cs="Times New Roman"/>
          <w:sz w:val="24"/>
          <w:szCs w:val="24"/>
        </w:rPr>
      </w:pPr>
      <w:r w:rsidRPr="00BB3CEA">
        <w:rPr>
          <w:rFonts w:ascii="Charter" w:hAnsi="Charter" w:cs="Times New Roman"/>
          <w:sz w:val="24"/>
          <w:szCs w:val="24"/>
        </w:rPr>
        <w:t>In 2018, however, the legislature revised the law relating to the transfer of youth from the juvenile justice system to the adult criminal justice system. S. B. Final Rep. 65-6160, 1</w:t>
      </w:r>
      <w:r w:rsidRPr="00BB3CEA">
        <w:rPr>
          <w:rFonts w:ascii="Charter" w:hAnsi="Charter" w:cs="Times New Roman"/>
          <w:sz w:val="24"/>
          <w:szCs w:val="24"/>
          <w:vertAlign w:val="superscript"/>
        </w:rPr>
        <w:t>st</w:t>
      </w:r>
      <w:r w:rsidRPr="00BB3CEA">
        <w:rPr>
          <w:rFonts w:ascii="Charter" w:hAnsi="Charter" w:cs="Times New Roman"/>
          <w:sz w:val="24"/>
          <w:szCs w:val="24"/>
        </w:rPr>
        <w:t xml:space="preserve"> Sess., at 2 (Wash. 2018).</w:t>
      </w:r>
      <w:r w:rsidR="00CB65AA">
        <w:rPr>
          <w:rStyle w:val="FootnoteReference"/>
          <w:rFonts w:ascii="Charter" w:hAnsi="Charter" w:cs="Times New Roman"/>
          <w:sz w:val="24"/>
          <w:szCs w:val="24"/>
        </w:rPr>
        <w:footnoteReference w:id="2"/>
      </w:r>
      <w:r w:rsidR="00CB65AA">
        <w:rPr>
          <w:rFonts w:ascii="Charter" w:hAnsi="Charter" w:cs="Times New Roman"/>
          <w:sz w:val="24"/>
          <w:szCs w:val="24"/>
        </w:rPr>
        <w:t xml:space="preserve"> </w:t>
      </w:r>
      <w:r w:rsidRPr="00BB3CEA">
        <w:rPr>
          <w:rFonts w:ascii="Charter" w:hAnsi="Charter" w:cs="Times New Roman"/>
          <w:sz w:val="24"/>
          <w:szCs w:val="24"/>
        </w:rPr>
        <w:t xml:space="preserve">Robbery 1 was transferred to the exclusive original jurisdiction of juvenile court when committed by a youth aged 16 or 17. </w:t>
      </w:r>
      <w:r w:rsidRPr="00BB3CEA">
        <w:rPr>
          <w:rFonts w:ascii="Charter" w:hAnsi="Charter" w:cs="Times New Roman"/>
          <w:i/>
          <w:iCs/>
          <w:sz w:val="24"/>
          <w:szCs w:val="24"/>
        </w:rPr>
        <w:t>See</w:t>
      </w:r>
      <w:r w:rsidRPr="00BB3CEA">
        <w:rPr>
          <w:rFonts w:ascii="Charter" w:hAnsi="Charter" w:cs="Times New Roman"/>
          <w:sz w:val="24"/>
          <w:szCs w:val="24"/>
        </w:rPr>
        <w:t xml:space="preserve"> RCW 13.04.030(1)(e)(v). </w:t>
      </w:r>
    </w:p>
    <w:p w14:paraId="7481F5A3" w14:textId="0FFFA701" w:rsidR="002E7E26" w:rsidRPr="002E7E26" w:rsidRDefault="002E7E26" w:rsidP="002E7E26">
      <w:pPr>
        <w:ind w:firstLine="720"/>
        <w:jc w:val="both"/>
        <w:rPr>
          <w:rFonts w:ascii="Charter" w:hAnsi="Charter" w:cs="Times New Roman"/>
          <w:sz w:val="24"/>
          <w:szCs w:val="24"/>
        </w:rPr>
      </w:pPr>
      <w:r w:rsidRPr="00BB3CEA">
        <w:rPr>
          <w:rFonts w:ascii="Charter" w:hAnsi="Charter" w:cs="Times New Roman"/>
          <w:sz w:val="24"/>
          <w:szCs w:val="24"/>
        </w:rPr>
        <w:t xml:space="preserve">Further, while discretionary decline hearings were previously unlimited, the 2018 changes restricted discretionary decline hearings to (1) youth ages 15 and older charged with a serious violent offense, or (2) youth ages 14 or younger </w:t>
      </w:r>
      <w:r w:rsidRPr="00BB3CEA">
        <w:rPr>
          <w:rFonts w:ascii="Charter" w:hAnsi="Charter" w:cs="Times New Roman"/>
          <w:sz w:val="24"/>
          <w:szCs w:val="24"/>
        </w:rPr>
        <w:lastRenderedPageBreak/>
        <w:t xml:space="preserve">charged with murder 1 or 2. RCW 13.40.110. Neither of Mr. Castellon’s offenses are serious violent offenses. </w:t>
      </w:r>
      <w:r w:rsidRPr="00BB3CEA">
        <w:rPr>
          <w:rFonts w:ascii="Charter" w:hAnsi="Charter" w:cs="Times New Roman"/>
          <w:i/>
          <w:iCs/>
          <w:sz w:val="24"/>
          <w:szCs w:val="24"/>
        </w:rPr>
        <w:t>See</w:t>
      </w:r>
      <w:r w:rsidRPr="00BB3CEA">
        <w:rPr>
          <w:rFonts w:ascii="Charter" w:hAnsi="Charter" w:cs="Times New Roman"/>
          <w:sz w:val="24"/>
          <w:szCs w:val="24"/>
        </w:rPr>
        <w:t xml:space="preserve"> RCW 9.94A.030(46). As such, if prosecuted today, the juvenile court would have had exclusive jurisdiction over Mr. Castellon’s case at the time charges were filed</w:t>
      </w:r>
      <w:r w:rsidR="00E24DD2">
        <w:rPr>
          <w:rFonts w:ascii="Charter" w:hAnsi="Charter" w:cs="Times New Roman"/>
          <w:sz w:val="24"/>
          <w:szCs w:val="24"/>
        </w:rPr>
        <w:t xml:space="preserve">, underscoring the extent to which judicial treatment of youth has changed since Mr. Castellon was handed down his original sentence. </w:t>
      </w:r>
    </w:p>
    <w:p w14:paraId="111E82EF" w14:textId="28E084FF" w:rsidR="00EC1E84" w:rsidRPr="00445FAF" w:rsidRDefault="00EC1E84" w:rsidP="00901332">
      <w:pPr>
        <w:pStyle w:val="ListParagraph"/>
        <w:numPr>
          <w:ilvl w:val="0"/>
          <w:numId w:val="31"/>
        </w:numPr>
        <w:jc w:val="both"/>
        <w:rPr>
          <w:rFonts w:ascii="Charter" w:hAnsi="Charter"/>
          <w:sz w:val="24"/>
          <w:szCs w:val="24"/>
        </w:rPr>
      </w:pPr>
      <w:r w:rsidRPr="00445FAF">
        <w:rPr>
          <w:rFonts w:ascii="Charter" w:hAnsi="Charter"/>
          <w:b/>
          <w:bCs/>
          <w:sz w:val="24"/>
          <w:szCs w:val="24"/>
        </w:rPr>
        <w:t>A New Sentencing Hearing is Required</w:t>
      </w:r>
      <w:r w:rsidR="004A5683" w:rsidRPr="00445FAF">
        <w:rPr>
          <w:rFonts w:ascii="Charter" w:hAnsi="Charter"/>
          <w:b/>
          <w:bCs/>
          <w:sz w:val="24"/>
          <w:szCs w:val="24"/>
        </w:rPr>
        <w:t xml:space="preserve"> Before This Court</w:t>
      </w:r>
      <w:r w:rsidR="004A5683" w:rsidRPr="00445FAF">
        <w:rPr>
          <w:rFonts w:ascii="Charter" w:hAnsi="Charter"/>
          <w:sz w:val="24"/>
          <w:szCs w:val="24"/>
        </w:rPr>
        <w:t xml:space="preserve">. </w:t>
      </w:r>
    </w:p>
    <w:p w14:paraId="361F98AF" w14:textId="51961A34" w:rsidR="00204E40" w:rsidRPr="00445FAF" w:rsidRDefault="009A4600" w:rsidP="00204E40">
      <w:pPr>
        <w:pStyle w:val="ListParagraph"/>
        <w:numPr>
          <w:ilvl w:val="0"/>
          <w:numId w:val="32"/>
        </w:numPr>
        <w:jc w:val="both"/>
        <w:rPr>
          <w:rFonts w:ascii="Charter" w:hAnsi="Charter"/>
          <w:sz w:val="24"/>
          <w:szCs w:val="24"/>
          <w:u w:val="single"/>
        </w:rPr>
      </w:pPr>
      <w:r w:rsidRPr="00445FAF">
        <w:rPr>
          <w:rFonts w:ascii="Charter" w:hAnsi="Charter"/>
          <w:sz w:val="24"/>
          <w:szCs w:val="24"/>
          <w:u w:val="single"/>
        </w:rPr>
        <w:t xml:space="preserve">Material change of law justifies </w:t>
      </w:r>
      <w:r w:rsidR="00FD0853">
        <w:rPr>
          <w:rFonts w:ascii="Charter" w:hAnsi="Charter"/>
          <w:sz w:val="24"/>
          <w:szCs w:val="24"/>
          <w:u w:val="single"/>
        </w:rPr>
        <w:t xml:space="preserve">relief under CrR 7.8. </w:t>
      </w:r>
      <w:r w:rsidRPr="00445FAF">
        <w:rPr>
          <w:rFonts w:ascii="Charter" w:hAnsi="Charter"/>
          <w:sz w:val="24"/>
          <w:szCs w:val="24"/>
          <w:u w:val="single"/>
        </w:rPr>
        <w:t xml:space="preserve"> </w:t>
      </w:r>
    </w:p>
    <w:p w14:paraId="5FFD3F39" w14:textId="77777777" w:rsidR="00204E40" w:rsidRPr="00445FAF" w:rsidRDefault="00204E40" w:rsidP="00204E40">
      <w:pPr>
        <w:ind w:firstLine="0"/>
        <w:jc w:val="both"/>
        <w:rPr>
          <w:rFonts w:ascii="Charter" w:hAnsi="Charter"/>
          <w:sz w:val="24"/>
          <w:szCs w:val="24"/>
        </w:rPr>
      </w:pPr>
      <w:r w:rsidRPr="00445FAF">
        <w:rPr>
          <w:rFonts w:ascii="Charter" w:hAnsi="Charter"/>
          <w:sz w:val="24"/>
          <w:szCs w:val="24"/>
        </w:rPr>
        <w:tab/>
        <w:t xml:space="preserve">The material change in the law in </w:t>
      </w:r>
      <w:r w:rsidRPr="00445FAF">
        <w:rPr>
          <w:rFonts w:ascii="Charter" w:hAnsi="Charter"/>
          <w:i/>
          <w:iCs/>
          <w:sz w:val="24"/>
          <w:szCs w:val="24"/>
        </w:rPr>
        <w:t xml:space="preserve">Houston-Sconiers </w:t>
      </w:r>
      <w:r w:rsidRPr="00445FAF">
        <w:rPr>
          <w:rFonts w:ascii="Charter" w:hAnsi="Charter"/>
          <w:sz w:val="24"/>
          <w:szCs w:val="24"/>
        </w:rPr>
        <w:t xml:space="preserve">applies retroactively to Castellon.  </w:t>
      </w:r>
      <w:r w:rsidRPr="00445FAF">
        <w:rPr>
          <w:rFonts w:ascii="Charter" w:hAnsi="Charter"/>
          <w:i/>
          <w:iCs/>
          <w:sz w:val="24"/>
          <w:szCs w:val="24"/>
        </w:rPr>
        <w:t>Matter of Ali</w:t>
      </w:r>
      <w:r w:rsidRPr="00445FAF">
        <w:rPr>
          <w:rFonts w:ascii="Charter" w:hAnsi="Charter"/>
          <w:sz w:val="24"/>
          <w:szCs w:val="24"/>
        </w:rPr>
        <w:t xml:space="preserve">, No. 95578-6, 2020 WL 6128059, at *1 (Sept.  17, 2020) (“We hold that </w:t>
      </w:r>
      <w:r w:rsidRPr="00445FAF">
        <w:rPr>
          <w:rFonts w:ascii="Charter" w:hAnsi="Charter"/>
          <w:i/>
          <w:iCs/>
          <w:sz w:val="24"/>
          <w:szCs w:val="24"/>
        </w:rPr>
        <w:t>Houston-Sconiers</w:t>
      </w:r>
      <w:r w:rsidRPr="00445FAF">
        <w:rPr>
          <w:rFonts w:ascii="Charter" w:hAnsi="Charter"/>
          <w:sz w:val="24"/>
          <w:szCs w:val="24"/>
        </w:rPr>
        <w:t xml:space="preserve"> constitutes a significant and material change in the law that requires retroactive application.”)    </w:t>
      </w:r>
    </w:p>
    <w:p w14:paraId="1BD89C9F" w14:textId="5FDDBF87" w:rsidR="00204E40" w:rsidRDefault="00204E40" w:rsidP="00204E40">
      <w:pPr>
        <w:ind w:firstLine="0"/>
        <w:jc w:val="both"/>
        <w:rPr>
          <w:rFonts w:ascii="Charter" w:hAnsi="Charter"/>
          <w:sz w:val="24"/>
          <w:szCs w:val="24"/>
        </w:rPr>
      </w:pPr>
      <w:r w:rsidRPr="00445FAF">
        <w:rPr>
          <w:rFonts w:ascii="Charter" w:hAnsi="Charter"/>
          <w:sz w:val="24"/>
          <w:szCs w:val="24"/>
        </w:rPr>
        <w:tab/>
        <w:t xml:space="preserve">“Unless the court meaningfully considers youth and knows it has absolute discretion to impose a lower sentence, we cannot be certain that an adult standard range was imposed appropriately on a juvenile under </w:t>
      </w:r>
      <w:r w:rsidRPr="00445FAF">
        <w:rPr>
          <w:rFonts w:ascii="Charter" w:hAnsi="Charter"/>
          <w:i/>
          <w:iCs/>
          <w:sz w:val="24"/>
          <w:szCs w:val="24"/>
        </w:rPr>
        <w:t>Houston-Sconiers.</w:t>
      </w:r>
      <w:r w:rsidRPr="00445FAF">
        <w:rPr>
          <w:rFonts w:ascii="Charter" w:hAnsi="Charter"/>
          <w:sz w:val="24"/>
          <w:szCs w:val="24"/>
        </w:rPr>
        <w:t xml:space="preserve">”  </w:t>
      </w:r>
      <w:r w:rsidRPr="00445FAF">
        <w:rPr>
          <w:rFonts w:ascii="Charter" w:hAnsi="Charter" w:cs="TimesNewRomanPS-ItalicMT"/>
          <w:i/>
          <w:iCs/>
          <w:sz w:val="24"/>
          <w:szCs w:val="24"/>
        </w:rPr>
        <w:t>In re Personal Restraint of Domingo-Cornelio</w:t>
      </w:r>
      <w:r w:rsidRPr="00445FAF">
        <w:rPr>
          <w:rFonts w:ascii="Charter" w:hAnsi="Charter" w:cs="TimesNewRomanPSMT"/>
          <w:sz w:val="24"/>
          <w:szCs w:val="24"/>
        </w:rPr>
        <w:t>, No. 97205-2, slip op., 2020 WL 6128068</w:t>
      </w:r>
      <w:r w:rsidRPr="00445FAF">
        <w:rPr>
          <w:rFonts w:ascii="Charter" w:hAnsi="Charter"/>
          <w:sz w:val="24"/>
          <w:szCs w:val="24"/>
        </w:rPr>
        <w:t xml:space="preserve"> at *5-6. </w:t>
      </w:r>
      <w:r w:rsidRPr="00445FAF">
        <w:rPr>
          <w:rFonts w:ascii="Charter" w:hAnsi="Charter" w:cs="TimesNewRomanPSMT"/>
          <w:sz w:val="24"/>
          <w:szCs w:val="24"/>
        </w:rPr>
        <w:t xml:space="preserve"> (Wash. Sept. 17, 2020)</w:t>
      </w:r>
      <w:r w:rsidRPr="00445FAF">
        <w:rPr>
          <w:rFonts w:ascii="Charter" w:hAnsi="Charter"/>
          <w:sz w:val="24"/>
          <w:szCs w:val="24"/>
        </w:rPr>
        <w:t>.</w:t>
      </w:r>
      <w:r w:rsidR="00D42D1C">
        <w:rPr>
          <w:rFonts w:ascii="Charter" w:hAnsi="Charter"/>
          <w:sz w:val="24"/>
          <w:szCs w:val="24"/>
        </w:rPr>
        <w:t xml:space="preserve"> </w:t>
      </w:r>
    </w:p>
    <w:p w14:paraId="5DE6ACA4" w14:textId="38F5F987" w:rsidR="00D42D1C" w:rsidRPr="00D42D1C" w:rsidRDefault="00D42D1C" w:rsidP="00D42D1C">
      <w:pPr>
        <w:ind w:firstLine="720"/>
        <w:jc w:val="both"/>
        <w:rPr>
          <w:rFonts w:ascii="Charter" w:hAnsi="Charter" w:cs="Times New Roman"/>
          <w:sz w:val="24"/>
          <w:szCs w:val="24"/>
        </w:rPr>
      </w:pPr>
      <w:r w:rsidRPr="00D42D1C">
        <w:rPr>
          <w:rFonts w:ascii="Charter" w:hAnsi="Charter" w:cs="Times New Roman"/>
          <w:sz w:val="24"/>
          <w:szCs w:val="24"/>
        </w:rPr>
        <w:t xml:space="preserve">To substantiate its argument that relief under CrR 7.8(b)(5) is so extraordinary as to be precluded in this case, the state cites dicta from two cases: </w:t>
      </w:r>
      <w:r w:rsidRPr="00D42D1C">
        <w:rPr>
          <w:rFonts w:ascii="Charter" w:hAnsi="Charter" w:cs="Times New Roman"/>
          <w:i/>
          <w:iCs/>
          <w:sz w:val="24"/>
          <w:szCs w:val="24"/>
        </w:rPr>
        <w:t>State v. Brand</w:t>
      </w:r>
      <w:r w:rsidRPr="00D42D1C">
        <w:rPr>
          <w:rFonts w:ascii="Charter" w:hAnsi="Charter" w:cs="Times New Roman"/>
          <w:sz w:val="24"/>
          <w:szCs w:val="24"/>
        </w:rPr>
        <w:t xml:space="preserve"> and </w:t>
      </w:r>
      <w:r w:rsidRPr="00D42D1C">
        <w:rPr>
          <w:rFonts w:ascii="Charter" w:hAnsi="Charter" w:cs="Times New Roman"/>
          <w:i/>
          <w:iCs/>
          <w:sz w:val="24"/>
          <w:szCs w:val="24"/>
        </w:rPr>
        <w:t>State v. Shove</w:t>
      </w:r>
      <w:r w:rsidRPr="00D42D1C">
        <w:rPr>
          <w:rFonts w:ascii="Charter" w:hAnsi="Charter" w:cs="Times New Roman"/>
          <w:sz w:val="24"/>
          <w:szCs w:val="24"/>
        </w:rPr>
        <w:t xml:space="preserve">. However, the court’s bases for denying relief in both </w:t>
      </w:r>
      <w:r w:rsidRPr="00D42D1C">
        <w:rPr>
          <w:rFonts w:ascii="Charter" w:hAnsi="Charter" w:cs="Times New Roman"/>
          <w:i/>
          <w:iCs/>
          <w:sz w:val="24"/>
          <w:szCs w:val="24"/>
        </w:rPr>
        <w:t>Brand</w:t>
      </w:r>
      <w:r w:rsidRPr="00D42D1C">
        <w:rPr>
          <w:rFonts w:ascii="Charter" w:hAnsi="Charter" w:cs="Times New Roman"/>
          <w:sz w:val="24"/>
          <w:szCs w:val="24"/>
        </w:rPr>
        <w:t xml:space="preserve"> and </w:t>
      </w:r>
      <w:r w:rsidRPr="00D42D1C">
        <w:rPr>
          <w:rFonts w:ascii="Charter" w:hAnsi="Charter" w:cs="Times New Roman"/>
          <w:i/>
          <w:iCs/>
          <w:sz w:val="24"/>
          <w:szCs w:val="24"/>
        </w:rPr>
        <w:t>Shove</w:t>
      </w:r>
      <w:r w:rsidRPr="00D42D1C">
        <w:rPr>
          <w:rFonts w:ascii="Charter" w:hAnsi="Charter" w:cs="Times New Roman"/>
          <w:sz w:val="24"/>
          <w:szCs w:val="24"/>
        </w:rPr>
        <w:t xml:space="preserve"> are entirely unrelated to the present case. In </w:t>
      </w:r>
      <w:r w:rsidRPr="00D42D1C">
        <w:rPr>
          <w:rFonts w:ascii="Charter" w:hAnsi="Charter" w:cs="Times New Roman"/>
          <w:i/>
          <w:iCs/>
          <w:sz w:val="24"/>
          <w:szCs w:val="24"/>
        </w:rPr>
        <w:t>Brand</w:t>
      </w:r>
      <w:r w:rsidRPr="00D42D1C">
        <w:rPr>
          <w:rFonts w:ascii="Charter" w:hAnsi="Charter" w:cs="Times New Roman"/>
          <w:sz w:val="24"/>
          <w:szCs w:val="24"/>
        </w:rPr>
        <w:t xml:space="preserve">, the court </w:t>
      </w:r>
      <w:r w:rsidRPr="00D42D1C">
        <w:rPr>
          <w:rFonts w:ascii="Charter" w:hAnsi="Charter" w:cs="Times New Roman"/>
          <w:sz w:val="24"/>
          <w:szCs w:val="24"/>
        </w:rPr>
        <w:lastRenderedPageBreak/>
        <w:t xml:space="preserve">held that CrR 7.8(b)(5) motions provide relief only in “extraordinary circumstances </w:t>
      </w:r>
      <w:r w:rsidRPr="00D42D1C">
        <w:rPr>
          <w:rFonts w:ascii="Charter" w:hAnsi="Charter" w:cs="Times New Roman"/>
          <w:i/>
          <w:iCs/>
          <w:sz w:val="24"/>
          <w:szCs w:val="24"/>
        </w:rPr>
        <w:t>not covered by any other section of the rule</w:t>
      </w:r>
      <w:r w:rsidRPr="00D42D1C">
        <w:rPr>
          <w:rFonts w:ascii="Charter" w:hAnsi="Charter" w:cs="Times New Roman"/>
          <w:sz w:val="24"/>
          <w:szCs w:val="24"/>
        </w:rPr>
        <w:t xml:space="preserve">.” </w:t>
      </w:r>
      <w:r w:rsidRPr="00D42D1C">
        <w:rPr>
          <w:rFonts w:ascii="Charter" w:hAnsi="Charter" w:cs="Times New Roman"/>
          <w:i/>
          <w:iCs/>
          <w:sz w:val="24"/>
          <w:szCs w:val="24"/>
        </w:rPr>
        <w:t>State v. Brand</w:t>
      </w:r>
      <w:r w:rsidRPr="00D42D1C">
        <w:rPr>
          <w:rFonts w:ascii="Charter" w:hAnsi="Charter" w:cs="Times New Roman"/>
          <w:sz w:val="24"/>
          <w:szCs w:val="24"/>
        </w:rPr>
        <w:t>, 120 Wash. 2d 365, 369, 842 P.2d 470, 472 (1992) (emphasis added).</w:t>
      </w:r>
      <w:r w:rsidR="00CB65AA">
        <w:rPr>
          <w:rStyle w:val="FootnoteReference"/>
          <w:rFonts w:ascii="Charter" w:hAnsi="Charter" w:cs="Times New Roman"/>
          <w:sz w:val="24"/>
          <w:szCs w:val="24"/>
        </w:rPr>
        <w:footnoteReference w:id="3"/>
      </w:r>
      <w:r w:rsidRPr="00D42D1C">
        <w:rPr>
          <w:rFonts w:ascii="Charter" w:hAnsi="Charter" w:cs="Times New Roman"/>
          <w:sz w:val="24"/>
          <w:szCs w:val="24"/>
        </w:rPr>
        <w:t xml:space="preserve"> Unlike the petitioner in </w:t>
      </w:r>
      <w:r w:rsidRPr="00D42D1C">
        <w:rPr>
          <w:rFonts w:ascii="Charter" w:hAnsi="Charter" w:cs="Times New Roman"/>
          <w:i/>
          <w:iCs/>
          <w:sz w:val="24"/>
          <w:szCs w:val="24"/>
        </w:rPr>
        <w:t>Brand</w:t>
      </w:r>
      <w:r w:rsidRPr="00D42D1C">
        <w:rPr>
          <w:rFonts w:ascii="Charter" w:hAnsi="Charter" w:cs="Times New Roman"/>
          <w:sz w:val="24"/>
          <w:szCs w:val="24"/>
        </w:rPr>
        <w:t>, Mr. Castellon has not filed any previous motions for relief from judgmen</w:t>
      </w:r>
      <w:r w:rsidR="003C3F2D">
        <w:rPr>
          <w:rFonts w:ascii="Charter" w:hAnsi="Charter" w:cs="Times New Roman"/>
          <w:sz w:val="24"/>
          <w:szCs w:val="24"/>
        </w:rPr>
        <w:t>t</w:t>
      </w:r>
      <w:r w:rsidRPr="00D42D1C">
        <w:rPr>
          <w:rFonts w:ascii="Charter" w:hAnsi="Charter" w:cs="Times New Roman"/>
          <w:sz w:val="24"/>
          <w:szCs w:val="24"/>
        </w:rPr>
        <w:t>. Further,</w:t>
      </w:r>
      <w:r w:rsidR="003C3F2D">
        <w:rPr>
          <w:rFonts w:ascii="Charter" w:hAnsi="Charter" w:cs="Times New Roman"/>
          <w:sz w:val="24"/>
          <w:szCs w:val="24"/>
        </w:rPr>
        <w:t xml:space="preserve"> </w:t>
      </w:r>
      <w:r w:rsidRPr="00D42D1C">
        <w:rPr>
          <w:rFonts w:ascii="Charter" w:hAnsi="Charter" w:cs="Times New Roman"/>
          <w:sz w:val="24"/>
          <w:szCs w:val="24"/>
        </w:rPr>
        <w:t xml:space="preserve">the circumstance giving rise to his motion—that significant changes in the law governing sentencing considerations for juveniles in adult court entitle him to a new sentencing hearing—are not covered under any other section of the rule. </w:t>
      </w:r>
    </w:p>
    <w:p w14:paraId="59098957" w14:textId="6759A606" w:rsidR="00D42D1C" w:rsidRPr="00D42D1C" w:rsidRDefault="00D42D1C" w:rsidP="00D42D1C">
      <w:pPr>
        <w:ind w:firstLine="720"/>
        <w:jc w:val="both"/>
        <w:rPr>
          <w:rFonts w:ascii="Charter" w:hAnsi="Charter" w:cs="Times New Roman"/>
          <w:sz w:val="24"/>
          <w:szCs w:val="24"/>
        </w:rPr>
      </w:pPr>
      <w:r w:rsidRPr="00D42D1C">
        <w:rPr>
          <w:rFonts w:ascii="Charter" w:hAnsi="Charter" w:cs="Times New Roman"/>
          <w:sz w:val="24"/>
          <w:szCs w:val="24"/>
        </w:rPr>
        <w:t xml:space="preserve">In </w:t>
      </w:r>
      <w:r w:rsidRPr="00D42D1C">
        <w:rPr>
          <w:rFonts w:ascii="Charter" w:hAnsi="Charter" w:cs="Times New Roman"/>
          <w:i/>
          <w:iCs/>
          <w:sz w:val="24"/>
          <w:szCs w:val="24"/>
        </w:rPr>
        <w:t>Shove</w:t>
      </w:r>
      <w:r w:rsidRPr="00D42D1C">
        <w:rPr>
          <w:rFonts w:ascii="Charter" w:hAnsi="Charter" w:cs="Times New Roman"/>
          <w:sz w:val="24"/>
          <w:szCs w:val="24"/>
        </w:rPr>
        <w:t>, the Washington Supreme Court reversed the trial court’s modification of the defendant’s sentence because the basis for the modification—that the original sentence caused potential economic loss to the defendant—was</w:t>
      </w:r>
      <w:r w:rsidR="00BC1070">
        <w:rPr>
          <w:rFonts w:ascii="Charter" w:hAnsi="Charter" w:cs="Times New Roman"/>
          <w:sz w:val="24"/>
          <w:szCs w:val="24"/>
        </w:rPr>
        <w:t xml:space="preserve"> purely discretionary</w:t>
      </w:r>
      <w:r w:rsidRPr="00D42D1C">
        <w:rPr>
          <w:rFonts w:ascii="Charter" w:hAnsi="Charter" w:cs="Times New Roman"/>
          <w:sz w:val="24"/>
          <w:szCs w:val="24"/>
        </w:rPr>
        <w:t xml:space="preserve">. </w:t>
      </w:r>
      <w:r w:rsidRPr="00D42D1C">
        <w:rPr>
          <w:rFonts w:ascii="Charter" w:hAnsi="Charter" w:cs="Times New Roman"/>
          <w:i/>
          <w:iCs/>
          <w:sz w:val="24"/>
          <w:szCs w:val="24"/>
        </w:rPr>
        <w:t>State v. Shove</w:t>
      </w:r>
      <w:r w:rsidRPr="00D42D1C">
        <w:rPr>
          <w:rFonts w:ascii="Charter" w:hAnsi="Charter" w:cs="Times New Roman"/>
          <w:sz w:val="24"/>
          <w:szCs w:val="24"/>
        </w:rPr>
        <w:t>, 113 Wash. 2d 83, 89, 776 P.2d 132, 135 (1989)</w:t>
      </w:r>
      <w:r w:rsidR="00CB65AA">
        <w:rPr>
          <w:rFonts w:ascii="Charter" w:hAnsi="Charter" w:cs="Times New Roman"/>
          <w:sz w:val="24"/>
          <w:szCs w:val="24"/>
        </w:rPr>
        <w:t xml:space="preserve">. </w:t>
      </w:r>
      <w:r w:rsidRPr="00D42D1C">
        <w:rPr>
          <w:rFonts w:ascii="Charter" w:hAnsi="Charter" w:cs="Times New Roman"/>
          <w:sz w:val="24"/>
          <w:szCs w:val="24"/>
        </w:rPr>
        <w:t xml:space="preserve">The court concluded that “modification of sentences is inappropriate where trial courts to exercise discretion without any criteria to guide their decisions.” </w:t>
      </w:r>
      <w:r w:rsidRPr="00D42D1C">
        <w:rPr>
          <w:rFonts w:ascii="Charter" w:hAnsi="Charter" w:cs="Times New Roman"/>
          <w:i/>
          <w:iCs/>
          <w:sz w:val="24"/>
          <w:szCs w:val="24"/>
        </w:rPr>
        <w:t>Id.</w:t>
      </w:r>
      <w:r w:rsidRPr="00D42D1C">
        <w:rPr>
          <w:rFonts w:ascii="Charter" w:hAnsi="Charter" w:cs="Times New Roman"/>
          <w:sz w:val="24"/>
          <w:szCs w:val="24"/>
        </w:rPr>
        <w:t xml:space="preserve"> </w:t>
      </w:r>
      <w:r w:rsidR="003C3F2D" w:rsidRPr="00D42D1C">
        <w:rPr>
          <w:rFonts w:ascii="Charter" w:hAnsi="Charter" w:cs="Times New Roman"/>
          <w:sz w:val="24"/>
          <w:szCs w:val="24"/>
        </w:rPr>
        <w:t>Dissimilar</w:t>
      </w:r>
      <w:r w:rsidRPr="00D42D1C">
        <w:rPr>
          <w:rFonts w:ascii="Charter" w:hAnsi="Charter" w:cs="Times New Roman"/>
          <w:sz w:val="24"/>
          <w:szCs w:val="24"/>
        </w:rPr>
        <w:t xml:space="preserve"> </w:t>
      </w:r>
      <w:r w:rsidR="003C3F2D">
        <w:rPr>
          <w:rFonts w:ascii="Charter" w:hAnsi="Charter" w:cs="Times New Roman"/>
          <w:sz w:val="24"/>
          <w:szCs w:val="24"/>
        </w:rPr>
        <w:t xml:space="preserve">to </w:t>
      </w:r>
      <w:r w:rsidRPr="00D42D1C">
        <w:rPr>
          <w:rFonts w:ascii="Charter" w:hAnsi="Charter" w:cs="Times New Roman"/>
          <w:sz w:val="24"/>
          <w:szCs w:val="24"/>
        </w:rPr>
        <w:t xml:space="preserve">the defendant in </w:t>
      </w:r>
      <w:r w:rsidRPr="00081EFD">
        <w:rPr>
          <w:rFonts w:ascii="Charter" w:hAnsi="Charter" w:cs="Times New Roman"/>
          <w:i/>
          <w:iCs/>
          <w:sz w:val="24"/>
          <w:szCs w:val="24"/>
        </w:rPr>
        <w:t>Shove</w:t>
      </w:r>
      <w:r w:rsidRPr="00D42D1C">
        <w:rPr>
          <w:rFonts w:ascii="Charter" w:hAnsi="Charter" w:cs="Times New Roman"/>
          <w:sz w:val="24"/>
          <w:szCs w:val="24"/>
        </w:rPr>
        <w:t xml:space="preserve">, Mr. Castellon is entitled to resentencing precisely because of changes in constitutional sentencing standards. </w:t>
      </w:r>
      <w:r w:rsidRPr="00D42D1C">
        <w:rPr>
          <w:rFonts w:ascii="Charter" w:hAnsi="Charter" w:cs="Times New Roman"/>
          <w:i/>
          <w:iCs/>
          <w:sz w:val="24"/>
          <w:szCs w:val="24"/>
        </w:rPr>
        <w:t xml:space="preserve">Houston-Sconiers </w:t>
      </w:r>
      <w:r w:rsidRPr="00D42D1C">
        <w:rPr>
          <w:rFonts w:ascii="Charter" w:hAnsi="Charter" w:cs="Times New Roman"/>
          <w:sz w:val="24"/>
          <w:szCs w:val="24"/>
        </w:rPr>
        <w:t>was significant enough to warrant retroactive application</w:t>
      </w:r>
      <w:r w:rsidR="00BC1070">
        <w:rPr>
          <w:rFonts w:ascii="Charter" w:hAnsi="Charter" w:cs="Times New Roman"/>
          <w:sz w:val="24"/>
          <w:szCs w:val="24"/>
        </w:rPr>
        <w:t xml:space="preserve">, constitutionally </w:t>
      </w:r>
      <w:r w:rsidR="00BC1070">
        <w:rPr>
          <w:rFonts w:ascii="Charter" w:hAnsi="Charter" w:cs="Times New Roman"/>
          <w:sz w:val="24"/>
          <w:szCs w:val="24"/>
        </w:rPr>
        <w:lastRenderedPageBreak/>
        <w:t xml:space="preserve">mandating courts </w:t>
      </w:r>
      <w:r w:rsidRPr="00D42D1C">
        <w:rPr>
          <w:rFonts w:ascii="Charter" w:hAnsi="Charter" w:cs="Times New Roman"/>
          <w:sz w:val="24"/>
          <w:szCs w:val="24"/>
        </w:rPr>
        <w:t>grant</w:t>
      </w:r>
      <w:r w:rsidR="00BC1070">
        <w:rPr>
          <w:rFonts w:ascii="Charter" w:hAnsi="Charter" w:cs="Times New Roman"/>
          <w:sz w:val="24"/>
          <w:szCs w:val="24"/>
        </w:rPr>
        <w:t xml:space="preserve"> </w:t>
      </w:r>
      <w:r w:rsidRPr="00D42D1C">
        <w:rPr>
          <w:rFonts w:ascii="Charter" w:hAnsi="Charter" w:cs="Times New Roman"/>
          <w:sz w:val="24"/>
          <w:szCs w:val="24"/>
        </w:rPr>
        <w:t xml:space="preserve">requests for consideration of modification in certain cases. See </w:t>
      </w:r>
      <w:r w:rsidRPr="00D42D1C">
        <w:rPr>
          <w:rFonts w:ascii="Charter" w:hAnsi="Charter" w:cs="Times New Roman"/>
          <w:i/>
          <w:iCs/>
          <w:sz w:val="24"/>
          <w:szCs w:val="24"/>
        </w:rPr>
        <w:t>Matter of Ali</w:t>
      </w:r>
      <w:r w:rsidRPr="00D42D1C">
        <w:rPr>
          <w:rFonts w:ascii="Charter" w:hAnsi="Charter" w:cs="Times New Roman"/>
          <w:sz w:val="24"/>
          <w:szCs w:val="24"/>
        </w:rPr>
        <w:t xml:space="preserve">, 196 Wn.2d 220, 225 (“The Eighth Amendment to the United States Constitution requires our criminal justice system to address </w:t>
      </w:r>
      <w:r w:rsidR="003C3F2D">
        <w:rPr>
          <w:rFonts w:ascii="Charter" w:hAnsi="Charter" w:cs="Times New Roman"/>
          <w:sz w:val="24"/>
          <w:szCs w:val="24"/>
        </w:rPr>
        <w:t>[children’s]</w:t>
      </w:r>
      <w:r w:rsidR="003C3F2D" w:rsidRPr="00D42D1C">
        <w:rPr>
          <w:rFonts w:ascii="Charter" w:hAnsi="Charter" w:cs="Times New Roman"/>
          <w:sz w:val="24"/>
          <w:szCs w:val="24"/>
        </w:rPr>
        <w:t xml:space="preserve"> </w:t>
      </w:r>
      <w:r w:rsidRPr="00D42D1C">
        <w:rPr>
          <w:rFonts w:ascii="Charter" w:hAnsi="Charter" w:cs="Times New Roman"/>
          <w:sz w:val="24"/>
          <w:szCs w:val="24"/>
        </w:rPr>
        <w:t>difference when punishing children.</w:t>
      </w:r>
      <w:r w:rsidR="003C3F2D">
        <w:rPr>
          <w:rFonts w:ascii="Charter" w:hAnsi="Charter" w:cs="Times New Roman"/>
          <w:sz w:val="24"/>
          <w:szCs w:val="24"/>
        </w:rPr>
        <w:t>”)</w:t>
      </w:r>
      <w:r w:rsidR="003C3F2D" w:rsidRPr="00D42D1C" w:rsidDel="003C3F2D">
        <w:rPr>
          <w:rFonts w:ascii="Charter" w:hAnsi="Charter" w:cs="Times New Roman"/>
          <w:sz w:val="24"/>
          <w:szCs w:val="24"/>
        </w:rPr>
        <w:t xml:space="preserve"> </w:t>
      </w:r>
    </w:p>
    <w:p w14:paraId="14CFD7B3" w14:textId="64D06123" w:rsidR="003D76CF" w:rsidRPr="00445FAF" w:rsidRDefault="009A4600" w:rsidP="003D76CF">
      <w:pPr>
        <w:pStyle w:val="ListParagraph"/>
        <w:numPr>
          <w:ilvl w:val="0"/>
          <w:numId w:val="32"/>
        </w:numPr>
        <w:jc w:val="both"/>
        <w:rPr>
          <w:rFonts w:ascii="Charter" w:hAnsi="Charter"/>
          <w:sz w:val="24"/>
          <w:szCs w:val="24"/>
          <w:u w:val="single"/>
        </w:rPr>
      </w:pPr>
      <w:r w:rsidRPr="00445FAF">
        <w:rPr>
          <w:rFonts w:ascii="Charter" w:hAnsi="Charter"/>
          <w:sz w:val="24"/>
          <w:szCs w:val="24"/>
          <w:u w:val="single"/>
        </w:rPr>
        <w:t xml:space="preserve">Castellon has shown prejudice. </w:t>
      </w:r>
    </w:p>
    <w:p w14:paraId="7FA04D31" w14:textId="77777777" w:rsidR="003D76CF" w:rsidRPr="00445FAF" w:rsidRDefault="003D76CF" w:rsidP="003D76CF">
      <w:pPr>
        <w:ind w:firstLine="720"/>
        <w:jc w:val="both"/>
        <w:rPr>
          <w:rFonts w:ascii="Charter" w:hAnsi="Charter"/>
          <w:sz w:val="24"/>
          <w:szCs w:val="24"/>
        </w:rPr>
      </w:pPr>
      <w:r w:rsidRPr="00445FAF">
        <w:rPr>
          <w:rFonts w:ascii="Charter" w:hAnsi="Charter"/>
          <w:i/>
          <w:iCs/>
          <w:sz w:val="24"/>
          <w:szCs w:val="24"/>
        </w:rPr>
        <w:t>Domingo-Cornelio</w:t>
      </w:r>
      <w:r w:rsidRPr="00445FAF">
        <w:rPr>
          <w:rFonts w:ascii="Charter" w:hAnsi="Charter"/>
          <w:sz w:val="24"/>
          <w:szCs w:val="24"/>
        </w:rPr>
        <w:t xml:space="preserve"> holds that prejudice has been established “when a sentencing court fails to consider mitigating factors relating to the youthfulness of a juvenile tried as an adult.”  </w:t>
      </w:r>
      <w:r w:rsidRPr="00445FAF">
        <w:rPr>
          <w:rFonts w:ascii="Charter" w:hAnsi="Charter"/>
          <w:i/>
          <w:iCs/>
          <w:sz w:val="24"/>
          <w:szCs w:val="24"/>
        </w:rPr>
        <w:t>Domingo-Cornelio</w:t>
      </w:r>
      <w:r w:rsidRPr="00445FAF">
        <w:rPr>
          <w:rFonts w:ascii="Charter" w:hAnsi="Charter"/>
          <w:sz w:val="24"/>
          <w:szCs w:val="24"/>
        </w:rPr>
        <w:t xml:space="preserve">, at *5.   </w:t>
      </w:r>
    </w:p>
    <w:p w14:paraId="20BE891D" w14:textId="19CC0C90" w:rsidR="003D76CF" w:rsidRPr="00D42D1C" w:rsidRDefault="003D76CF" w:rsidP="00D42D1C">
      <w:pPr>
        <w:ind w:firstLine="720"/>
        <w:jc w:val="both"/>
        <w:rPr>
          <w:rFonts w:ascii="Charter" w:hAnsi="Charter"/>
          <w:sz w:val="24"/>
          <w:szCs w:val="24"/>
        </w:rPr>
      </w:pPr>
      <w:r w:rsidRPr="00445FAF">
        <w:rPr>
          <w:rFonts w:ascii="Charter" w:hAnsi="Charter"/>
          <w:sz w:val="24"/>
          <w:szCs w:val="24"/>
        </w:rPr>
        <w:t xml:space="preserve">Here, the sentencing Court was not required to – and thus did not </w:t>
      </w:r>
      <w:r w:rsidR="00292083" w:rsidRPr="00445FAF">
        <w:rPr>
          <w:rFonts w:ascii="Charter" w:hAnsi="Charter"/>
          <w:sz w:val="24"/>
          <w:szCs w:val="24"/>
        </w:rPr>
        <w:t>–</w:t>
      </w:r>
      <w:r w:rsidRPr="00445FAF">
        <w:rPr>
          <w:rFonts w:ascii="Charter" w:hAnsi="Charter"/>
          <w:sz w:val="24"/>
          <w:szCs w:val="24"/>
        </w:rPr>
        <w:t xml:space="preserve"> </w:t>
      </w:r>
      <w:r w:rsidR="00292083" w:rsidRPr="00445FAF">
        <w:rPr>
          <w:rFonts w:ascii="Charter" w:hAnsi="Charter"/>
          <w:sz w:val="24"/>
          <w:szCs w:val="24"/>
        </w:rPr>
        <w:t>impose a sentenced that reflected consideration of Castellon’s “immaturity, impetuosity, and failure to appreciate risks and consequences</w:t>
      </w:r>
      <w:r w:rsidR="00CE4637" w:rsidRPr="00445FAF">
        <w:rPr>
          <w:rFonts w:ascii="Charter" w:hAnsi="Charter"/>
          <w:sz w:val="24"/>
          <w:szCs w:val="24"/>
        </w:rPr>
        <w:t xml:space="preserve">,” or the nature of Castellon’s “surrounding environment </w:t>
      </w:r>
      <w:r w:rsidR="007B789E" w:rsidRPr="00445FAF">
        <w:rPr>
          <w:rFonts w:ascii="Charter" w:hAnsi="Charter"/>
          <w:sz w:val="24"/>
          <w:szCs w:val="24"/>
        </w:rPr>
        <w:t xml:space="preserve">and family circumstances,” the way “peer pressures may have impacted him” </w:t>
      </w:r>
      <w:r w:rsidR="00304B80" w:rsidRPr="00445FAF">
        <w:rPr>
          <w:rFonts w:ascii="Charter" w:hAnsi="Charter"/>
          <w:sz w:val="24"/>
          <w:szCs w:val="24"/>
        </w:rPr>
        <w:t xml:space="preserve">and “factors suggesting that the youth might be successfully rehabilitated.”  </w:t>
      </w:r>
      <w:r w:rsidR="00304B80" w:rsidRPr="00445FAF">
        <w:rPr>
          <w:rFonts w:ascii="Charter" w:hAnsi="Charter"/>
          <w:i/>
          <w:iCs/>
          <w:sz w:val="24"/>
          <w:szCs w:val="24"/>
        </w:rPr>
        <w:t>Ali</w:t>
      </w:r>
      <w:r w:rsidR="00304B80" w:rsidRPr="00445FAF">
        <w:rPr>
          <w:rFonts w:ascii="Charter" w:hAnsi="Charter"/>
          <w:sz w:val="24"/>
          <w:szCs w:val="24"/>
        </w:rPr>
        <w:t xml:space="preserve">, at *10, citing </w:t>
      </w:r>
      <w:r w:rsidR="00304B80" w:rsidRPr="00445FAF">
        <w:rPr>
          <w:rFonts w:ascii="Charter" w:hAnsi="Charter"/>
          <w:i/>
          <w:iCs/>
          <w:sz w:val="24"/>
          <w:szCs w:val="24"/>
        </w:rPr>
        <w:t>Houston-Sconiers</w:t>
      </w:r>
      <w:r w:rsidR="00304B80" w:rsidRPr="00445FAF">
        <w:rPr>
          <w:rFonts w:ascii="Charter" w:hAnsi="Charter"/>
          <w:sz w:val="24"/>
          <w:szCs w:val="24"/>
        </w:rPr>
        <w:t xml:space="preserve">, 188 Wn.2d at 23.  </w:t>
      </w:r>
    </w:p>
    <w:p w14:paraId="705C5CD6" w14:textId="5A5EF8A7" w:rsidR="003B28B9" w:rsidRPr="00053A4D" w:rsidRDefault="00204E40" w:rsidP="00053A4D">
      <w:pPr>
        <w:pStyle w:val="ListParagraph"/>
        <w:numPr>
          <w:ilvl w:val="0"/>
          <w:numId w:val="32"/>
        </w:numPr>
        <w:spacing w:line="240" w:lineRule="auto"/>
        <w:jc w:val="both"/>
        <w:rPr>
          <w:rFonts w:ascii="Charter" w:hAnsi="Charter"/>
          <w:sz w:val="24"/>
          <w:szCs w:val="24"/>
        </w:rPr>
      </w:pPr>
      <w:r w:rsidRPr="00445FAF">
        <w:rPr>
          <w:rFonts w:ascii="Charter" w:hAnsi="Charter"/>
          <w:sz w:val="24"/>
          <w:szCs w:val="24"/>
          <w:u w:val="single"/>
        </w:rPr>
        <w:t>A transfer to the Court of Appeals is inappropriate</w:t>
      </w:r>
      <w:r w:rsidR="00AC4CD1">
        <w:rPr>
          <w:rFonts w:ascii="Charter" w:hAnsi="Charter"/>
          <w:sz w:val="24"/>
          <w:szCs w:val="24"/>
          <w:u w:val="single"/>
        </w:rPr>
        <w:t xml:space="preserve">. </w:t>
      </w:r>
    </w:p>
    <w:p w14:paraId="183EDEFF" w14:textId="77777777" w:rsidR="00053A4D" w:rsidRPr="00053A4D" w:rsidRDefault="00053A4D" w:rsidP="00053A4D">
      <w:pPr>
        <w:pStyle w:val="ListParagraph"/>
        <w:spacing w:line="240" w:lineRule="auto"/>
        <w:ind w:left="1440" w:firstLine="0"/>
        <w:jc w:val="both"/>
        <w:rPr>
          <w:rFonts w:ascii="Charter" w:hAnsi="Charter"/>
          <w:sz w:val="24"/>
          <w:szCs w:val="24"/>
        </w:rPr>
      </w:pPr>
    </w:p>
    <w:p w14:paraId="089AC769" w14:textId="442808CE" w:rsidR="00B74534" w:rsidRPr="00081EFD" w:rsidRDefault="00B74534">
      <w:pPr>
        <w:ind w:firstLine="720"/>
        <w:jc w:val="both"/>
        <w:rPr>
          <w:rFonts w:ascii="Charter Roman" w:hAnsi="Charter Roman"/>
          <w:sz w:val="24"/>
          <w:szCs w:val="24"/>
        </w:rPr>
      </w:pPr>
      <w:r w:rsidRPr="00081EFD">
        <w:rPr>
          <w:rFonts w:ascii="Charter Roman" w:hAnsi="Charter Roman"/>
          <w:sz w:val="24"/>
          <w:szCs w:val="24"/>
        </w:rPr>
        <w:t xml:space="preserve">This case falls under an exception to the one-year time limit for collateral attack. The time limit specified in RCW 10.73.090 does not apply when the motion is based on a significant change in the law, whether substantiative or material, which is material to the sentence such that the court has authorized retroactive application. RCW 10.73.100(6). </w:t>
      </w:r>
      <w:r w:rsidRPr="00081EFD">
        <w:rPr>
          <w:rFonts w:ascii="Charter Roman" w:eastAsia="Times New Roman" w:hAnsi="Charter Roman" w:cs="Times New Roman"/>
          <w:color w:val="000000"/>
          <w:sz w:val="24"/>
          <w:szCs w:val="24"/>
          <w:shd w:val="clear" w:color="auto" w:fill="FFFFFF"/>
          <w:lang w:eastAsia="en-US"/>
        </w:rPr>
        <w:t xml:space="preserve">Houston-Sconiers constituted a significant change in the law for </w:t>
      </w:r>
      <w:r w:rsidRPr="00081EFD">
        <w:rPr>
          <w:rFonts w:ascii="Charter Roman" w:eastAsia="Times New Roman" w:hAnsi="Charter Roman" w:cs="Times New Roman"/>
          <w:color w:val="000000"/>
          <w:sz w:val="24"/>
          <w:szCs w:val="24"/>
          <w:shd w:val="clear" w:color="auto" w:fill="FFFFFF"/>
          <w:lang w:eastAsia="en-US"/>
        </w:rPr>
        <w:lastRenderedPageBreak/>
        <w:t xml:space="preserve">purposes of RCW 10.73.100(6). </w:t>
      </w:r>
      <w:r w:rsidRPr="00081EFD">
        <w:rPr>
          <w:rFonts w:ascii="Charter Roman" w:eastAsia="Times New Roman" w:hAnsi="Charter Roman" w:cs="Times New Roman"/>
          <w:i/>
          <w:iCs/>
          <w:color w:val="000000"/>
          <w:sz w:val="24"/>
          <w:szCs w:val="24"/>
          <w:shd w:val="clear" w:color="auto" w:fill="FFFFFF"/>
          <w:lang w:eastAsia="en-US"/>
        </w:rPr>
        <w:t>In re Marshall</w:t>
      </w:r>
      <w:r w:rsidRPr="00081EFD">
        <w:rPr>
          <w:rFonts w:ascii="Charter Roman" w:eastAsia="Times New Roman" w:hAnsi="Charter Roman" w:cs="Times New Roman"/>
          <w:color w:val="000000"/>
          <w:sz w:val="24"/>
          <w:szCs w:val="24"/>
          <w:shd w:val="clear" w:color="auto" w:fill="FFFFFF"/>
          <w:lang w:eastAsia="en-US"/>
        </w:rPr>
        <w:t>, 10 Wash. App. 2d 626, 638, 455 P.3d 1163, 1170.</w:t>
      </w:r>
    </w:p>
    <w:p w14:paraId="2EFD5591" w14:textId="0160A395" w:rsidR="002416EB" w:rsidRDefault="003B28B9">
      <w:pPr>
        <w:ind w:firstLine="720"/>
        <w:jc w:val="both"/>
        <w:rPr>
          <w:rFonts w:ascii="Charter" w:hAnsi="Charter"/>
          <w:sz w:val="24"/>
          <w:szCs w:val="24"/>
        </w:rPr>
      </w:pPr>
      <w:r>
        <w:rPr>
          <w:rFonts w:ascii="Charter" w:hAnsi="Charter"/>
          <w:sz w:val="24"/>
          <w:szCs w:val="24"/>
        </w:rPr>
        <w:t xml:space="preserve">Judge Schubert imposed the sentence in this case </w:t>
      </w:r>
      <w:r w:rsidR="00E30FBD">
        <w:rPr>
          <w:rFonts w:ascii="Charter" w:hAnsi="Charter"/>
          <w:sz w:val="24"/>
          <w:szCs w:val="24"/>
        </w:rPr>
        <w:t xml:space="preserve">in 2013. Because Castellon’s argument is based on a reasonable probability of a different sentenced based on increased discretion, the sentencing judge is the most apt </w:t>
      </w:r>
      <w:r w:rsidR="002416EB">
        <w:rPr>
          <w:rFonts w:ascii="Charter" w:hAnsi="Charter"/>
          <w:sz w:val="24"/>
          <w:szCs w:val="24"/>
        </w:rPr>
        <w:t>person</w:t>
      </w:r>
      <w:r w:rsidR="00E30FBD">
        <w:rPr>
          <w:rFonts w:ascii="Charter" w:hAnsi="Charter"/>
          <w:sz w:val="24"/>
          <w:szCs w:val="24"/>
        </w:rPr>
        <w:t xml:space="preserve"> to make that judgment. </w:t>
      </w:r>
      <w:r w:rsidR="002416EB">
        <w:rPr>
          <w:rFonts w:ascii="Charter" w:hAnsi="Charter"/>
          <w:sz w:val="24"/>
          <w:szCs w:val="24"/>
        </w:rPr>
        <w:t xml:space="preserve"> </w:t>
      </w:r>
      <w:r w:rsidR="006A781F">
        <w:rPr>
          <w:rFonts w:ascii="Charter" w:hAnsi="Charter"/>
          <w:sz w:val="24"/>
          <w:szCs w:val="24"/>
        </w:rPr>
        <w:t xml:space="preserve">CrR 7.8(c)(2) require transfer to the Court of appeals unless a defendant – as Castellon has – made a substantial showing that he is entitled to relief.   </w:t>
      </w:r>
    </w:p>
    <w:p w14:paraId="7384241B" w14:textId="343B50B0" w:rsidR="003D694D" w:rsidRDefault="002416EB" w:rsidP="006A781F">
      <w:pPr>
        <w:ind w:firstLine="720"/>
        <w:jc w:val="both"/>
        <w:rPr>
          <w:rFonts w:ascii="Charter" w:hAnsi="Charter"/>
          <w:sz w:val="24"/>
          <w:szCs w:val="24"/>
        </w:rPr>
      </w:pPr>
      <w:r>
        <w:rPr>
          <w:rFonts w:ascii="Charter" w:hAnsi="Charter"/>
          <w:sz w:val="24"/>
          <w:szCs w:val="24"/>
        </w:rPr>
        <w:t xml:space="preserve">Given the fact-intensive nature of sentencing generally and this case specifically, an appellate court is not in </w:t>
      </w:r>
      <w:r w:rsidR="00C036B0">
        <w:rPr>
          <w:rFonts w:ascii="Charter" w:hAnsi="Charter"/>
          <w:sz w:val="24"/>
          <w:szCs w:val="24"/>
        </w:rPr>
        <w:t>a better</w:t>
      </w:r>
      <w:r>
        <w:rPr>
          <w:rFonts w:ascii="Charter" w:hAnsi="Charter"/>
          <w:sz w:val="24"/>
          <w:szCs w:val="24"/>
        </w:rPr>
        <w:t xml:space="preserve"> place to decide prejudice than this court. </w:t>
      </w:r>
      <w:r w:rsidR="006A781F">
        <w:rPr>
          <w:rFonts w:ascii="Charter" w:hAnsi="Charter"/>
          <w:sz w:val="24"/>
          <w:szCs w:val="24"/>
        </w:rPr>
        <w:tab/>
      </w:r>
      <w:r w:rsidR="008B4337">
        <w:rPr>
          <w:rFonts w:ascii="Charter" w:hAnsi="Charter"/>
          <w:sz w:val="24"/>
          <w:szCs w:val="24"/>
        </w:rPr>
        <w:t>Alternatively, if this Court believes a resolution of the</w:t>
      </w:r>
      <w:r w:rsidR="00053A4D">
        <w:rPr>
          <w:rFonts w:ascii="Charter" w:hAnsi="Charter"/>
          <w:sz w:val="24"/>
          <w:szCs w:val="24"/>
        </w:rPr>
        <w:t xml:space="preserve"> pending</w:t>
      </w:r>
      <w:r w:rsidR="008B4337">
        <w:rPr>
          <w:rFonts w:ascii="Charter" w:hAnsi="Charter"/>
          <w:sz w:val="24"/>
          <w:szCs w:val="24"/>
        </w:rPr>
        <w:t xml:space="preserve"> motion</w:t>
      </w:r>
      <w:r w:rsidR="00053A4D">
        <w:rPr>
          <w:rFonts w:ascii="Charter" w:hAnsi="Charter"/>
          <w:sz w:val="24"/>
          <w:szCs w:val="24"/>
        </w:rPr>
        <w:t xml:space="preserve"> requires a factual hearing, then, too, transfer is inappropriate. </w:t>
      </w:r>
    </w:p>
    <w:p w14:paraId="77533447" w14:textId="0EBE78EC" w:rsidR="00A21D33" w:rsidRPr="00BB548C" w:rsidRDefault="00D00755" w:rsidP="00A21D33">
      <w:pPr>
        <w:pStyle w:val="ListParagraph"/>
        <w:numPr>
          <w:ilvl w:val="0"/>
          <w:numId w:val="31"/>
        </w:numPr>
        <w:jc w:val="both"/>
        <w:rPr>
          <w:rFonts w:ascii="Charter" w:hAnsi="Charter"/>
          <w:b/>
          <w:bCs/>
          <w:sz w:val="24"/>
          <w:szCs w:val="24"/>
        </w:rPr>
      </w:pPr>
      <w:r w:rsidRPr="00BB548C">
        <w:rPr>
          <w:rFonts w:ascii="Charter" w:hAnsi="Charter"/>
          <w:b/>
          <w:bCs/>
          <w:sz w:val="24"/>
          <w:szCs w:val="24"/>
        </w:rPr>
        <w:t>The State’s Motion for Stay Should be Denied.</w:t>
      </w:r>
    </w:p>
    <w:p w14:paraId="1CA26C07" w14:textId="40D16CEC" w:rsidR="00A21D33" w:rsidRPr="00BB548C" w:rsidRDefault="00A21D33">
      <w:pPr>
        <w:ind w:right="90" w:firstLine="720"/>
        <w:jc w:val="both"/>
        <w:rPr>
          <w:rStyle w:val="Hyperlink"/>
          <w:rFonts w:ascii="Charter" w:hAnsi="Charter" w:cstheme="minorHAnsi"/>
          <w:color w:val="auto"/>
          <w:sz w:val="24"/>
          <w:szCs w:val="24"/>
          <w:u w:val="none"/>
        </w:rPr>
      </w:pPr>
      <w:r w:rsidRPr="00BB548C">
        <w:rPr>
          <w:rFonts w:ascii="Charter" w:hAnsi="Charter" w:cstheme="minorHAnsi"/>
          <w:sz w:val="24"/>
          <w:szCs w:val="24"/>
        </w:rPr>
        <w:t>The court</w:t>
      </w:r>
      <w:r w:rsidRPr="00BB548C">
        <w:rPr>
          <w:rFonts w:ascii="Calibri" w:hAnsi="Calibri" w:cs="Calibri"/>
          <w:sz w:val="24"/>
          <w:szCs w:val="24"/>
        </w:rPr>
        <w:t> </w:t>
      </w:r>
      <w:r w:rsidRPr="00BB548C">
        <w:rPr>
          <w:rFonts w:ascii="Charter" w:hAnsi="Charter" w:cstheme="minorHAnsi"/>
          <w:sz w:val="24"/>
          <w:szCs w:val="24"/>
        </w:rPr>
        <w:t>grants certiorari to less than 1% of the cert petitions filed each term. S</w:t>
      </w:r>
      <w:r w:rsidRPr="00BB548C">
        <w:rPr>
          <w:rFonts w:ascii="Charter" w:hAnsi="Charter" w:cstheme="minorHAnsi"/>
          <w:i/>
          <w:iCs/>
          <w:sz w:val="24"/>
          <w:szCs w:val="24"/>
        </w:rPr>
        <w:t>upreme Court Procedure</w:t>
      </w:r>
      <w:r w:rsidRPr="00BB548C">
        <w:rPr>
          <w:rFonts w:ascii="Charter" w:hAnsi="Charter" w:cstheme="minorHAnsi"/>
          <w:sz w:val="24"/>
          <w:szCs w:val="24"/>
        </w:rPr>
        <w:t>, SCOTUSblog,</w:t>
      </w:r>
      <w:r w:rsidRPr="00BB548C">
        <w:rPr>
          <w:rFonts w:ascii="Calibri" w:hAnsi="Calibri" w:cs="Calibri"/>
          <w:sz w:val="24"/>
          <w:szCs w:val="24"/>
        </w:rPr>
        <w:t> </w:t>
      </w:r>
      <w:hyperlink r:id="rId11" w:tgtFrame="_blank" w:history="1">
        <w:r w:rsidRPr="00BB548C">
          <w:rPr>
            <w:rStyle w:val="Hyperlink"/>
            <w:rFonts w:ascii="Charter" w:hAnsi="Charter" w:cstheme="minorHAnsi"/>
            <w:sz w:val="24"/>
            <w:szCs w:val="24"/>
          </w:rPr>
          <w:t>https://www.scotusblog.com/reference/educational-resources/supreme-court-procedure/</w:t>
        </w:r>
      </w:hyperlink>
      <w:r w:rsidRPr="00BB548C">
        <w:rPr>
          <w:rStyle w:val="Hyperlink"/>
          <w:rFonts w:ascii="Charter" w:hAnsi="Charter" w:cstheme="minorHAnsi"/>
          <w:sz w:val="24"/>
          <w:szCs w:val="24"/>
        </w:rPr>
        <w:t xml:space="preserve">. </w:t>
      </w:r>
      <w:r w:rsidR="00A216AD" w:rsidRPr="00BB548C">
        <w:rPr>
          <w:rStyle w:val="Hyperlink"/>
          <w:rFonts w:ascii="Charter" w:hAnsi="Charter" w:cstheme="minorHAnsi"/>
          <w:sz w:val="24"/>
          <w:szCs w:val="24"/>
        </w:rPr>
        <w:t xml:space="preserve"> </w:t>
      </w:r>
    </w:p>
    <w:p w14:paraId="1DAFF009" w14:textId="548E7C50" w:rsidR="00D1237C" w:rsidRPr="00BB548C" w:rsidRDefault="00D1237C" w:rsidP="00B920F2">
      <w:pPr>
        <w:ind w:right="90" w:firstLine="720"/>
        <w:jc w:val="both"/>
        <w:rPr>
          <w:rFonts w:ascii="Charter" w:hAnsi="Charter"/>
          <w:sz w:val="24"/>
          <w:szCs w:val="24"/>
        </w:rPr>
      </w:pPr>
      <w:r w:rsidRPr="00BB548C">
        <w:rPr>
          <w:rFonts w:ascii="Charter" w:hAnsi="Charter"/>
          <w:sz w:val="24"/>
          <w:szCs w:val="24"/>
        </w:rPr>
        <w:t xml:space="preserve">RAP 12. 6 provides the appellate court “will not stay issuance of the mandate for the length of time necessary to secure a decision by the United States Supreme Court on an application for review.” Given that a certificate of finality cannot be </w:t>
      </w:r>
      <w:r w:rsidRPr="00BB548C">
        <w:rPr>
          <w:rFonts w:ascii="Charter" w:hAnsi="Charter"/>
          <w:sz w:val="24"/>
          <w:szCs w:val="24"/>
        </w:rPr>
        <w:lastRenderedPageBreak/>
        <w:t>stayed when a certiorari petition is filed, this Court should not stay another case pending that discretionary decision by the United States Supreme Court.</w:t>
      </w:r>
    </w:p>
    <w:p w14:paraId="76D81EB3" w14:textId="6F5A914D" w:rsidR="002027BF" w:rsidRDefault="00C30885" w:rsidP="00AC4CD1">
      <w:pPr>
        <w:ind w:firstLine="720"/>
        <w:jc w:val="both"/>
        <w:rPr>
          <w:rFonts w:ascii="Charter" w:hAnsi="Charter"/>
          <w:sz w:val="24"/>
          <w:szCs w:val="24"/>
        </w:rPr>
      </w:pPr>
      <w:r w:rsidRPr="008C4BD7">
        <w:rPr>
          <w:rFonts w:ascii="Charter" w:hAnsi="Charter"/>
          <w:sz w:val="24"/>
          <w:szCs w:val="24"/>
        </w:rPr>
        <w:t xml:space="preserve">The cases cited by the State in support of a stay do not control here and are inapposite. In </w:t>
      </w:r>
      <w:r w:rsidRPr="008C4BD7">
        <w:rPr>
          <w:rFonts w:ascii="Charter" w:hAnsi="Charter"/>
          <w:i/>
          <w:iCs/>
          <w:sz w:val="24"/>
          <w:szCs w:val="24"/>
        </w:rPr>
        <w:t>Lui</w:t>
      </w:r>
      <w:r w:rsidR="003532D0" w:rsidRPr="008C4BD7">
        <w:rPr>
          <w:rFonts w:ascii="Charter" w:hAnsi="Charter"/>
          <w:sz w:val="24"/>
          <w:szCs w:val="24"/>
        </w:rPr>
        <w:t xml:space="preserve">, the court was confronted with a question of when the confrontation clause requires testimony from lab analysts who conduct forensic tests on evidence.  </w:t>
      </w:r>
      <w:r w:rsidR="0090520B" w:rsidRPr="008C4BD7">
        <w:rPr>
          <w:rFonts w:ascii="Charter" w:hAnsi="Charter"/>
          <w:sz w:val="24"/>
          <w:szCs w:val="24"/>
        </w:rPr>
        <w:t>In that case, the court accepted review and heard oral argument</w:t>
      </w:r>
      <w:r w:rsidR="005138FC" w:rsidRPr="008C4BD7">
        <w:rPr>
          <w:rFonts w:ascii="Charter" w:hAnsi="Charter"/>
          <w:sz w:val="24"/>
          <w:szCs w:val="24"/>
        </w:rPr>
        <w:t xml:space="preserve"> but stayed the decision pending the </w:t>
      </w:r>
      <w:r w:rsidR="00511F1F" w:rsidRPr="008C4BD7">
        <w:rPr>
          <w:rFonts w:ascii="Charter" w:hAnsi="Charter"/>
          <w:sz w:val="24"/>
          <w:szCs w:val="24"/>
        </w:rPr>
        <w:t xml:space="preserve">United States Supreme Court’s </w:t>
      </w:r>
      <w:r w:rsidR="00511F1F" w:rsidRPr="008C4BD7">
        <w:rPr>
          <w:rFonts w:ascii="Charter" w:hAnsi="Charter"/>
          <w:i/>
          <w:iCs/>
          <w:sz w:val="24"/>
          <w:szCs w:val="24"/>
        </w:rPr>
        <w:t>pending decision</w:t>
      </w:r>
      <w:r w:rsidR="00511F1F" w:rsidRPr="008C4BD7">
        <w:rPr>
          <w:rFonts w:ascii="Charter" w:hAnsi="Charter"/>
          <w:sz w:val="24"/>
          <w:szCs w:val="24"/>
        </w:rPr>
        <w:t xml:space="preserve"> in a case before that court.  </w:t>
      </w:r>
      <w:r w:rsidR="00511F1F" w:rsidRPr="0071716F">
        <w:rPr>
          <w:rFonts w:ascii="Charter" w:eastAsia="Times New Roman" w:hAnsi="Charter" w:cs="Times New Roman"/>
          <w:i/>
          <w:iCs/>
          <w:color w:val="000000"/>
          <w:sz w:val="24"/>
          <w:szCs w:val="24"/>
          <w:bdr w:val="none" w:sz="0" w:space="0" w:color="auto" w:frame="1"/>
          <w:lang w:eastAsia="en-US"/>
        </w:rPr>
        <w:t>State v. Lui</w:t>
      </w:r>
      <w:r w:rsidR="00511F1F" w:rsidRPr="0071716F">
        <w:rPr>
          <w:rFonts w:ascii="Charter" w:eastAsia="Times New Roman" w:hAnsi="Charter" w:cs="Times New Roman"/>
          <w:color w:val="000000"/>
          <w:sz w:val="24"/>
          <w:szCs w:val="24"/>
          <w:lang w:eastAsia="en-US"/>
        </w:rPr>
        <w:t>, 179 Wn.2d 457, 467, 315 P.3d 493, 497 (2014)</w:t>
      </w:r>
      <w:r w:rsidR="00AC4CD1">
        <w:rPr>
          <w:rFonts w:ascii="Charter" w:hAnsi="Charter"/>
          <w:sz w:val="24"/>
          <w:szCs w:val="24"/>
        </w:rPr>
        <w:t xml:space="preserve">. </w:t>
      </w:r>
    </w:p>
    <w:p w14:paraId="5C9D200D" w14:textId="62809ACA" w:rsidR="00511F1F" w:rsidRPr="0071716F" w:rsidRDefault="00AC4CD1" w:rsidP="00CC3BEA">
      <w:pPr>
        <w:ind w:firstLine="720"/>
        <w:jc w:val="both"/>
        <w:rPr>
          <w:rFonts w:ascii="Charter" w:eastAsia="Times New Roman" w:hAnsi="Charter" w:cs="Times New Roman"/>
          <w:color w:val="000000"/>
          <w:sz w:val="24"/>
          <w:szCs w:val="24"/>
          <w:lang w:eastAsia="en-US"/>
        </w:rPr>
      </w:pPr>
      <w:r w:rsidRPr="00BB548C">
        <w:rPr>
          <w:rFonts w:ascii="Charter" w:hAnsi="Charter"/>
          <w:sz w:val="24"/>
          <w:szCs w:val="24"/>
        </w:rPr>
        <w:t xml:space="preserve">Similarly, in </w:t>
      </w:r>
      <w:r w:rsidRPr="00E907DA">
        <w:rPr>
          <w:rFonts w:ascii="Charter" w:eastAsia="Times New Roman" w:hAnsi="Charter" w:cs="Times New Roman"/>
          <w:i/>
          <w:iCs/>
          <w:color w:val="000000"/>
          <w:sz w:val="24"/>
          <w:szCs w:val="24"/>
          <w:bdr w:val="none" w:sz="0" w:space="0" w:color="auto" w:frame="1"/>
          <w:lang w:eastAsia="en-US"/>
        </w:rPr>
        <w:t>State v. Martinez-Leon</w:t>
      </w:r>
      <w:r w:rsidRPr="00E907DA">
        <w:rPr>
          <w:rFonts w:ascii="Charter" w:eastAsia="Times New Roman" w:hAnsi="Charter" w:cs="Times New Roman"/>
          <w:color w:val="000000"/>
          <w:sz w:val="24"/>
          <w:szCs w:val="24"/>
          <w:lang w:eastAsia="en-US"/>
        </w:rPr>
        <w:t xml:space="preserve">, </w:t>
      </w:r>
      <w:r w:rsidRPr="00BB548C">
        <w:rPr>
          <w:rFonts w:ascii="Charter" w:hAnsi="Charter"/>
          <w:sz w:val="24"/>
          <w:szCs w:val="24"/>
        </w:rPr>
        <w:t xml:space="preserve">the court stayed an appeal arguing </w:t>
      </w:r>
      <w:r w:rsidRPr="00BB548C">
        <w:rPr>
          <w:rFonts w:ascii="Charter" w:hAnsi="Charter"/>
          <w:i/>
          <w:iCs/>
          <w:sz w:val="24"/>
          <w:szCs w:val="24"/>
        </w:rPr>
        <w:t xml:space="preserve">Padilla </w:t>
      </w:r>
      <w:r w:rsidRPr="00BB548C">
        <w:rPr>
          <w:rFonts w:ascii="Charter" w:hAnsi="Charter"/>
          <w:sz w:val="24"/>
          <w:szCs w:val="24"/>
        </w:rPr>
        <w:t xml:space="preserve">was retroactive </w:t>
      </w:r>
      <w:r w:rsidRPr="00081EFD">
        <w:rPr>
          <w:rFonts w:ascii="Charter" w:hAnsi="Charter"/>
          <w:i/>
          <w:iCs/>
          <w:sz w:val="24"/>
          <w:szCs w:val="24"/>
        </w:rPr>
        <w:t>pending a decision</w:t>
      </w:r>
      <w:r w:rsidRPr="00BB548C">
        <w:rPr>
          <w:rFonts w:ascii="Charter" w:hAnsi="Charter"/>
          <w:sz w:val="24"/>
          <w:szCs w:val="24"/>
        </w:rPr>
        <w:t xml:space="preserve"> on that same issue in a case the United States Supreme Court had accepted in </w:t>
      </w:r>
      <w:r w:rsidRPr="00E907DA">
        <w:rPr>
          <w:rFonts w:ascii="Charter" w:eastAsia="Times New Roman" w:hAnsi="Charter" w:cs="Times New Roman"/>
          <w:i/>
          <w:iCs/>
          <w:color w:val="000000"/>
          <w:sz w:val="24"/>
          <w:szCs w:val="24"/>
          <w:bdr w:val="none" w:sz="0" w:space="0" w:color="auto" w:frame="1"/>
          <w:lang w:eastAsia="en-US"/>
        </w:rPr>
        <w:t>Chaidez v. United States</w:t>
      </w:r>
      <w:r w:rsidRPr="00BB548C">
        <w:rPr>
          <w:rFonts w:ascii="Charter" w:eastAsia="Times New Roman" w:hAnsi="Charter" w:cs="Times New Roman"/>
          <w:i/>
          <w:iCs/>
          <w:color w:val="000000"/>
          <w:sz w:val="24"/>
          <w:szCs w:val="24"/>
          <w:bdr w:val="none" w:sz="0" w:space="0" w:color="auto" w:frame="1"/>
          <w:lang w:eastAsia="en-US"/>
        </w:rPr>
        <w:t xml:space="preserve">.  </w:t>
      </w:r>
      <w:r w:rsidRPr="00E907DA">
        <w:rPr>
          <w:rFonts w:ascii="Charter" w:eastAsia="Times New Roman" w:hAnsi="Charter" w:cs="Times New Roman"/>
          <w:color w:val="000000"/>
          <w:sz w:val="24"/>
          <w:szCs w:val="24"/>
          <w:lang w:eastAsia="en-US"/>
        </w:rPr>
        <w:t>174 Wn. App. 753, 755, 300 P.3d 481, 482 (2013)</w:t>
      </w:r>
      <w:r w:rsidR="006A781F">
        <w:rPr>
          <w:rFonts w:ascii="Charter" w:eastAsia="Times New Roman" w:hAnsi="Charter" w:cs="Times New Roman"/>
          <w:color w:val="000000"/>
          <w:sz w:val="24"/>
          <w:szCs w:val="24"/>
          <w:lang w:eastAsia="en-US"/>
        </w:rPr>
        <w:t xml:space="preserve"> </w:t>
      </w:r>
    </w:p>
    <w:p w14:paraId="15CF0A22" w14:textId="014CB123" w:rsidR="00F66311" w:rsidRDefault="00511F1F" w:rsidP="00081EFD">
      <w:pPr>
        <w:ind w:right="90" w:firstLine="720"/>
        <w:jc w:val="both"/>
        <w:rPr>
          <w:rFonts w:ascii="Charter" w:eastAsia="Times New Roman" w:hAnsi="Charter" w:cs="Arial"/>
          <w:color w:val="000000"/>
          <w:sz w:val="24"/>
          <w:szCs w:val="24"/>
          <w:lang w:eastAsia="en-US"/>
        </w:rPr>
      </w:pPr>
      <w:r w:rsidRPr="00BB548C">
        <w:rPr>
          <w:rFonts w:ascii="Charter" w:hAnsi="Charter"/>
          <w:sz w:val="24"/>
          <w:szCs w:val="24"/>
        </w:rPr>
        <w:t xml:space="preserve">Here, there is no forthcoming decision </w:t>
      </w:r>
      <w:r w:rsidR="006A781F">
        <w:rPr>
          <w:rFonts w:ascii="Charter" w:hAnsi="Charter"/>
          <w:sz w:val="24"/>
          <w:szCs w:val="24"/>
        </w:rPr>
        <w:t>as</w:t>
      </w:r>
      <w:r w:rsidR="006A781F" w:rsidRPr="00BB548C">
        <w:rPr>
          <w:rFonts w:ascii="Charter" w:hAnsi="Charter"/>
          <w:sz w:val="24"/>
          <w:szCs w:val="24"/>
        </w:rPr>
        <w:t xml:space="preserve"> </w:t>
      </w:r>
      <w:r w:rsidR="006A781F">
        <w:rPr>
          <w:rFonts w:ascii="Charter" w:hAnsi="Charter"/>
          <w:sz w:val="24"/>
          <w:szCs w:val="24"/>
        </w:rPr>
        <w:t>the</w:t>
      </w:r>
      <w:r w:rsidRPr="00BB548C">
        <w:rPr>
          <w:rFonts w:ascii="Charter" w:hAnsi="Charter"/>
          <w:sz w:val="24"/>
          <w:szCs w:val="24"/>
        </w:rPr>
        <w:t xml:space="preserve"> case that has not</w:t>
      </w:r>
      <w:r w:rsidR="006A781F">
        <w:rPr>
          <w:rFonts w:ascii="Charter" w:hAnsi="Charter"/>
          <w:sz w:val="24"/>
          <w:szCs w:val="24"/>
        </w:rPr>
        <w:t xml:space="preserve"> even</w:t>
      </w:r>
      <w:r w:rsidRPr="00BB548C">
        <w:rPr>
          <w:rFonts w:ascii="Charter" w:hAnsi="Charter"/>
          <w:sz w:val="24"/>
          <w:szCs w:val="24"/>
        </w:rPr>
        <w:t xml:space="preserve"> been accepted.</w:t>
      </w:r>
      <w:r w:rsidR="006A781F">
        <w:rPr>
          <w:rFonts w:ascii="Charter" w:eastAsia="Times New Roman" w:hAnsi="Charter" w:cs="Arial"/>
          <w:color w:val="000000"/>
          <w:sz w:val="24"/>
          <w:szCs w:val="24"/>
          <w:lang w:eastAsia="en-US"/>
        </w:rPr>
        <w:t xml:space="preserve"> </w:t>
      </w:r>
      <w:r w:rsidR="00FD7F79">
        <w:rPr>
          <w:rFonts w:ascii="Charter" w:eastAsia="Times New Roman" w:hAnsi="Charter" w:cs="Arial"/>
          <w:color w:val="000000"/>
          <w:sz w:val="24"/>
          <w:szCs w:val="24"/>
          <w:lang w:eastAsia="en-US"/>
        </w:rPr>
        <w:t>The State argued that Castellon would likely seek expert services to investigate and present arguments in mitigation based on youth.  That is not the case</w:t>
      </w:r>
      <w:r w:rsidR="00F66311">
        <w:rPr>
          <w:rFonts w:ascii="Charter" w:eastAsia="Times New Roman" w:hAnsi="Charter" w:cs="Arial"/>
          <w:color w:val="000000"/>
          <w:sz w:val="24"/>
          <w:szCs w:val="24"/>
          <w:lang w:eastAsia="en-US"/>
        </w:rPr>
        <w:t xml:space="preserve"> – Castellon is prepared to proceed to sentencing in February.</w:t>
      </w:r>
      <w:r w:rsidR="00822B66">
        <w:rPr>
          <w:rStyle w:val="FootnoteReference"/>
          <w:rFonts w:ascii="Charter" w:eastAsia="Times New Roman" w:hAnsi="Charter" w:cs="Arial"/>
          <w:color w:val="000000"/>
          <w:sz w:val="24"/>
          <w:szCs w:val="24"/>
          <w:lang w:eastAsia="en-US"/>
        </w:rPr>
        <w:footnoteReference w:id="4"/>
      </w:r>
      <w:r w:rsidR="00F66311">
        <w:rPr>
          <w:rFonts w:ascii="Charter" w:eastAsia="Times New Roman" w:hAnsi="Charter" w:cs="Arial"/>
          <w:color w:val="000000"/>
          <w:sz w:val="24"/>
          <w:szCs w:val="24"/>
          <w:lang w:eastAsia="en-US"/>
        </w:rPr>
        <w:t xml:space="preserve">  </w:t>
      </w:r>
    </w:p>
    <w:p w14:paraId="7298A3A5" w14:textId="4DFE85C0" w:rsidR="00D078E6" w:rsidRDefault="00FD7F79">
      <w:pPr>
        <w:ind w:right="90" w:firstLine="720"/>
        <w:jc w:val="both"/>
        <w:rPr>
          <w:rFonts w:ascii="Charter" w:eastAsia="Times New Roman" w:hAnsi="Charter" w:cs="Arial"/>
          <w:color w:val="000000"/>
          <w:sz w:val="24"/>
          <w:szCs w:val="24"/>
          <w:lang w:eastAsia="en-US"/>
        </w:rPr>
      </w:pPr>
      <w:r>
        <w:rPr>
          <w:rFonts w:ascii="Charter" w:eastAsia="Times New Roman" w:hAnsi="Charter" w:cs="Arial"/>
          <w:color w:val="000000"/>
          <w:sz w:val="24"/>
          <w:szCs w:val="24"/>
          <w:lang w:eastAsia="en-US"/>
        </w:rPr>
        <w:lastRenderedPageBreak/>
        <w:t xml:space="preserve">As stated </w:t>
      </w:r>
      <w:r w:rsidR="00451717">
        <w:rPr>
          <w:rFonts w:ascii="Charter" w:eastAsia="Times New Roman" w:hAnsi="Charter" w:cs="Arial"/>
          <w:color w:val="000000"/>
          <w:sz w:val="24"/>
          <w:szCs w:val="24"/>
          <w:lang w:eastAsia="en-US"/>
        </w:rPr>
        <w:t xml:space="preserve">in the initial pleadings, Castellon is </w:t>
      </w:r>
      <w:r w:rsidR="006A781F">
        <w:rPr>
          <w:rFonts w:ascii="Charter" w:eastAsia="Times New Roman" w:hAnsi="Charter" w:cs="Arial"/>
          <w:color w:val="000000"/>
          <w:sz w:val="24"/>
          <w:szCs w:val="24"/>
          <w:lang w:eastAsia="en-US"/>
        </w:rPr>
        <w:t xml:space="preserve">not </w:t>
      </w:r>
      <w:r w:rsidR="00451717">
        <w:rPr>
          <w:rFonts w:ascii="Charter" w:eastAsia="Times New Roman" w:hAnsi="Charter" w:cs="Arial"/>
          <w:color w:val="000000"/>
          <w:sz w:val="24"/>
          <w:szCs w:val="24"/>
          <w:lang w:eastAsia="en-US"/>
        </w:rPr>
        <w:t xml:space="preserve">projected to be released from DOC </w:t>
      </w:r>
      <w:r w:rsidR="006A781F">
        <w:rPr>
          <w:rFonts w:ascii="Charter" w:eastAsia="Times New Roman" w:hAnsi="Charter" w:cs="Arial"/>
          <w:color w:val="000000"/>
          <w:sz w:val="24"/>
          <w:szCs w:val="24"/>
          <w:lang w:eastAsia="en-US"/>
        </w:rPr>
        <w:t xml:space="preserve">until </w:t>
      </w:r>
      <w:r w:rsidR="00451717">
        <w:rPr>
          <w:rFonts w:ascii="Charter" w:eastAsia="Times New Roman" w:hAnsi="Charter" w:cs="Arial"/>
          <w:color w:val="000000"/>
          <w:sz w:val="24"/>
          <w:szCs w:val="24"/>
          <w:lang w:eastAsia="en-US"/>
        </w:rPr>
        <w:t xml:space="preserve">August 5, 2022. </w:t>
      </w:r>
      <w:r w:rsidR="00D078E6">
        <w:rPr>
          <w:rFonts w:ascii="Charter" w:eastAsia="Times New Roman" w:hAnsi="Charter" w:cs="Arial"/>
          <w:color w:val="000000"/>
          <w:sz w:val="24"/>
          <w:szCs w:val="24"/>
          <w:lang w:eastAsia="en-US"/>
        </w:rPr>
        <w:t xml:space="preserve"> Castellon is caged – separated from his family since a teenager – at Coyote Ridge Corrections Center.  He remains at that facility as COVID-19 </w:t>
      </w:r>
      <w:r w:rsidR="00C61B57">
        <w:rPr>
          <w:rFonts w:ascii="Charter" w:eastAsia="Times New Roman" w:hAnsi="Charter" w:cs="Arial"/>
          <w:color w:val="000000"/>
          <w:sz w:val="24"/>
          <w:szCs w:val="24"/>
          <w:lang w:eastAsia="en-US"/>
        </w:rPr>
        <w:t xml:space="preserve">infects prisoners and staff.  Within the last 30 days, 43 new prisoners have been infected.  Two people have died at Coyote Ridge under DOC’s care because of COVID-19. </w:t>
      </w:r>
      <w:hyperlink r:id="rId12" w:history="1">
        <w:r w:rsidR="00361BC4" w:rsidRPr="005C4D32">
          <w:rPr>
            <w:rStyle w:val="Hyperlink"/>
            <w:rFonts w:ascii="Charter" w:eastAsia="Times New Roman" w:hAnsi="Charter" w:cs="Arial"/>
            <w:sz w:val="24"/>
            <w:szCs w:val="24"/>
            <w:lang w:eastAsia="en-US"/>
          </w:rPr>
          <w:t>https://www.doc.wa.gov/corrections/covid-19/data.htm/</w:t>
        </w:r>
      </w:hyperlink>
      <w:r w:rsidR="00361BC4">
        <w:rPr>
          <w:rFonts w:ascii="Charter" w:eastAsia="Times New Roman" w:hAnsi="Charter" w:cs="Arial"/>
          <w:color w:val="000000"/>
          <w:sz w:val="24"/>
          <w:szCs w:val="24"/>
          <w:lang w:eastAsia="en-US"/>
        </w:rPr>
        <w:t xml:space="preserve">. The deaths prompted </w:t>
      </w:r>
      <w:r w:rsidR="0063770E">
        <w:rPr>
          <w:rFonts w:ascii="Charter" w:eastAsia="Times New Roman" w:hAnsi="Charter" w:cs="Arial"/>
          <w:color w:val="000000"/>
          <w:sz w:val="24"/>
          <w:szCs w:val="24"/>
          <w:lang w:eastAsia="en-US"/>
        </w:rPr>
        <w:t xml:space="preserve">an internal ombuds investigation, the final report of which is available at </w:t>
      </w:r>
      <w:hyperlink r:id="rId13" w:history="1">
        <w:r w:rsidR="0063770E" w:rsidRPr="005C4D32">
          <w:rPr>
            <w:rStyle w:val="Hyperlink"/>
            <w:rFonts w:ascii="Charter" w:eastAsia="Times New Roman" w:hAnsi="Charter" w:cs="Arial"/>
            <w:sz w:val="24"/>
            <w:szCs w:val="24"/>
            <w:lang w:eastAsia="en-US"/>
          </w:rPr>
          <w:t>https://oco.wa.gov/sites/default/files/CRCC%20Outbreak%20Investigation%20Final.pdf</w:t>
        </w:r>
      </w:hyperlink>
      <w:r w:rsidR="0063770E">
        <w:rPr>
          <w:rFonts w:ascii="Charter" w:eastAsia="Times New Roman" w:hAnsi="Charter" w:cs="Arial"/>
          <w:color w:val="000000"/>
          <w:sz w:val="24"/>
          <w:szCs w:val="24"/>
          <w:lang w:eastAsia="en-US"/>
        </w:rPr>
        <w:t xml:space="preserve">. </w:t>
      </w:r>
      <w:r w:rsidR="00C630B9">
        <w:rPr>
          <w:rFonts w:ascii="Charter" w:eastAsia="Times New Roman" w:hAnsi="Charter" w:cs="Arial"/>
          <w:color w:val="000000"/>
          <w:sz w:val="24"/>
          <w:szCs w:val="24"/>
          <w:lang w:eastAsia="en-US"/>
        </w:rPr>
        <w:t xml:space="preserve"> </w:t>
      </w:r>
      <w:r w:rsidR="000241FA">
        <w:rPr>
          <w:rFonts w:ascii="Charter" w:eastAsia="Times New Roman" w:hAnsi="Charter" w:cs="Arial"/>
          <w:color w:val="000000"/>
          <w:sz w:val="24"/>
          <w:szCs w:val="24"/>
          <w:lang w:eastAsia="en-US"/>
        </w:rPr>
        <w:t xml:space="preserve"> </w:t>
      </w:r>
    </w:p>
    <w:p w14:paraId="0263C6F1" w14:textId="2C49CC9D" w:rsidR="000241FA" w:rsidRPr="00BB548C" w:rsidRDefault="000241FA" w:rsidP="000241FA">
      <w:pPr>
        <w:ind w:right="90" w:firstLine="720"/>
        <w:jc w:val="both"/>
        <w:rPr>
          <w:rFonts w:ascii="Charter" w:hAnsi="Charter"/>
          <w:sz w:val="24"/>
          <w:szCs w:val="24"/>
        </w:rPr>
      </w:pPr>
      <w:r w:rsidRPr="00BB548C">
        <w:rPr>
          <w:rFonts w:ascii="Charter" w:hAnsi="Charter"/>
          <w:sz w:val="24"/>
          <w:szCs w:val="24"/>
        </w:rPr>
        <w:t xml:space="preserve">The State summarily posits that “a short stay of proceedings will prevent the victims from needlessly reliving this trauma during a premature resentencing hearing.”  </w:t>
      </w:r>
      <w:r w:rsidR="00081EFD">
        <w:rPr>
          <w:rFonts w:ascii="Charter" w:hAnsi="Charter"/>
          <w:i/>
          <w:iCs/>
          <w:sz w:val="24"/>
          <w:szCs w:val="24"/>
        </w:rPr>
        <w:t>State’s Response,</w:t>
      </w:r>
      <w:r w:rsidRPr="00BB548C">
        <w:rPr>
          <w:rFonts w:ascii="Charter" w:hAnsi="Charter"/>
          <w:sz w:val="24"/>
          <w:szCs w:val="24"/>
        </w:rPr>
        <w:t xml:space="preserve"> p.9).  </w:t>
      </w:r>
    </w:p>
    <w:p w14:paraId="48D3BB0E" w14:textId="3F1E47BB" w:rsidR="000241FA" w:rsidRPr="00BB548C" w:rsidRDefault="000241FA" w:rsidP="000241FA">
      <w:pPr>
        <w:ind w:right="90" w:firstLine="720"/>
        <w:jc w:val="both"/>
        <w:rPr>
          <w:rFonts w:ascii="Charter" w:hAnsi="Charter"/>
          <w:sz w:val="24"/>
          <w:szCs w:val="24"/>
        </w:rPr>
      </w:pPr>
      <w:r w:rsidRPr="00BB548C">
        <w:rPr>
          <w:rFonts w:ascii="Charter" w:hAnsi="Charter"/>
          <w:sz w:val="24"/>
          <w:szCs w:val="24"/>
        </w:rPr>
        <w:t>Victims are not monoliths. Instead of reporting back on the specific position of the victims in this case</w:t>
      </w:r>
      <w:r w:rsidR="00B74534">
        <w:rPr>
          <w:rFonts w:ascii="Charter" w:hAnsi="Charter"/>
          <w:sz w:val="24"/>
          <w:szCs w:val="24"/>
        </w:rPr>
        <w:t xml:space="preserve"> (</w:t>
      </w:r>
      <w:r w:rsidRPr="00BB548C">
        <w:rPr>
          <w:rFonts w:ascii="Charter" w:hAnsi="Charter"/>
          <w:sz w:val="24"/>
          <w:szCs w:val="24"/>
        </w:rPr>
        <w:t xml:space="preserve">who were not present at and did not make comments during the sentencing hearings of Castellon or any co-defendant), the State </w:t>
      </w:r>
      <w:r w:rsidR="006A781F">
        <w:rPr>
          <w:rFonts w:ascii="Charter" w:hAnsi="Charter"/>
          <w:sz w:val="24"/>
          <w:szCs w:val="24"/>
        </w:rPr>
        <w:t xml:space="preserve">makes assumptions about the victims’ desires </w:t>
      </w:r>
      <w:r w:rsidRPr="00BB548C">
        <w:rPr>
          <w:rFonts w:ascii="Charter" w:hAnsi="Charter"/>
          <w:sz w:val="24"/>
          <w:szCs w:val="24"/>
        </w:rPr>
        <w:t xml:space="preserve">for its own purposes, arguing that resentencing should be delayed because of a speculative traumatization. </w:t>
      </w:r>
    </w:p>
    <w:p w14:paraId="20053234" w14:textId="7B8BDC58" w:rsidR="000241FA" w:rsidRDefault="000241FA" w:rsidP="000241FA">
      <w:pPr>
        <w:ind w:right="90" w:firstLine="720"/>
        <w:jc w:val="both"/>
        <w:rPr>
          <w:rFonts w:ascii="Charter" w:eastAsia="Times New Roman" w:hAnsi="Charter" w:cs="Arial"/>
          <w:color w:val="000000"/>
          <w:sz w:val="24"/>
          <w:szCs w:val="24"/>
          <w:lang w:eastAsia="en-US"/>
        </w:rPr>
      </w:pPr>
      <w:r w:rsidRPr="00BB548C">
        <w:rPr>
          <w:rFonts w:ascii="Charter" w:hAnsi="Charter"/>
          <w:sz w:val="24"/>
          <w:szCs w:val="24"/>
        </w:rPr>
        <w:t xml:space="preserve">But the </w:t>
      </w:r>
      <w:r w:rsidRPr="00D758EA">
        <w:rPr>
          <w:rFonts w:ascii="Charter" w:eastAsia="Times New Roman" w:hAnsi="Charter" w:cs="Arial"/>
          <w:color w:val="000000"/>
          <w:sz w:val="24"/>
          <w:szCs w:val="24"/>
          <w:shd w:val="clear" w:color="auto" w:fill="FFFFFF"/>
          <w:lang w:eastAsia="en-US"/>
        </w:rPr>
        <w:t>Washington</w:t>
      </w:r>
      <w:r w:rsidRPr="00D758EA">
        <w:rPr>
          <w:rFonts w:ascii="Calibri" w:eastAsia="Times New Roman" w:hAnsi="Calibri" w:cs="Calibri"/>
          <w:color w:val="000000"/>
          <w:sz w:val="24"/>
          <w:szCs w:val="24"/>
          <w:shd w:val="clear" w:color="auto" w:fill="FFFFFF"/>
          <w:lang w:eastAsia="en-US"/>
        </w:rPr>
        <w:t> </w:t>
      </w:r>
      <w:r w:rsidRPr="00D758EA">
        <w:rPr>
          <w:rFonts w:ascii="Charter" w:eastAsia="Times New Roman" w:hAnsi="Charter" w:cs="Arial"/>
          <w:color w:val="000000"/>
          <w:sz w:val="24"/>
          <w:szCs w:val="24"/>
          <w:bdr w:val="none" w:sz="0" w:space="0" w:color="auto" w:frame="1"/>
          <w:shd w:val="clear" w:color="auto" w:fill="FFFFFF"/>
          <w:lang w:eastAsia="en-US"/>
        </w:rPr>
        <w:t>State</w:t>
      </w:r>
      <w:r w:rsidRPr="00D758EA">
        <w:rPr>
          <w:rFonts w:ascii="Calibri" w:eastAsia="Times New Roman" w:hAnsi="Calibri" w:cs="Calibri"/>
          <w:color w:val="000000"/>
          <w:sz w:val="24"/>
          <w:szCs w:val="24"/>
          <w:shd w:val="clear" w:color="auto" w:fill="FFFFFF"/>
          <w:lang w:eastAsia="en-US"/>
        </w:rPr>
        <w:t> </w:t>
      </w:r>
      <w:r w:rsidRPr="00D758EA">
        <w:rPr>
          <w:rFonts w:ascii="Charter" w:eastAsia="Times New Roman" w:hAnsi="Charter" w:cs="Arial"/>
          <w:color w:val="000000"/>
          <w:sz w:val="24"/>
          <w:szCs w:val="24"/>
          <w:shd w:val="clear" w:color="auto" w:fill="FFFFFF"/>
          <w:lang w:eastAsia="en-US"/>
        </w:rPr>
        <w:t>Constitution does not give</w:t>
      </w:r>
      <w:r w:rsidRPr="00BB548C">
        <w:rPr>
          <w:rFonts w:ascii="Charter" w:eastAsia="Times New Roman" w:hAnsi="Charter" w:cs="Arial"/>
          <w:color w:val="000000"/>
          <w:sz w:val="24"/>
          <w:szCs w:val="24"/>
          <w:shd w:val="clear" w:color="auto" w:fill="FFFFFF"/>
          <w:lang w:eastAsia="en-US"/>
        </w:rPr>
        <w:t xml:space="preserve"> t</w:t>
      </w:r>
      <w:r w:rsidRPr="00D758EA">
        <w:rPr>
          <w:rFonts w:ascii="Charter" w:eastAsia="Times New Roman" w:hAnsi="Charter" w:cs="Arial"/>
          <w:color w:val="000000"/>
          <w:sz w:val="24"/>
          <w:szCs w:val="24"/>
          <w:shd w:val="clear" w:color="auto" w:fill="FFFFFF"/>
          <w:lang w:eastAsia="en-US"/>
        </w:rPr>
        <w:t>he</w:t>
      </w:r>
      <w:r w:rsidRPr="00BB548C">
        <w:rPr>
          <w:rFonts w:ascii="Charter" w:eastAsia="Times New Roman" w:hAnsi="Charter" w:cs="Arial"/>
          <w:color w:val="000000"/>
          <w:sz w:val="24"/>
          <w:szCs w:val="24"/>
          <w:shd w:val="clear" w:color="auto" w:fill="FFFFFF"/>
          <w:lang w:eastAsia="en-US"/>
        </w:rPr>
        <w:t xml:space="preserve"> </w:t>
      </w:r>
      <w:r w:rsidRPr="00D758EA">
        <w:rPr>
          <w:rFonts w:ascii="Charter" w:eastAsia="Times New Roman" w:hAnsi="Charter" w:cs="Arial"/>
          <w:color w:val="000000"/>
          <w:sz w:val="24"/>
          <w:szCs w:val="24"/>
          <w:bdr w:val="none" w:sz="0" w:space="0" w:color="auto" w:frame="1"/>
          <w:shd w:val="clear" w:color="auto" w:fill="FFFFFF"/>
          <w:lang w:eastAsia="en-US"/>
        </w:rPr>
        <w:t>State</w:t>
      </w:r>
      <w:r w:rsidRPr="00BB548C">
        <w:rPr>
          <w:rFonts w:ascii="Charter" w:eastAsia="Times New Roman" w:hAnsi="Charter" w:cs="Arial"/>
          <w:color w:val="000000"/>
          <w:sz w:val="24"/>
          <w:szCs w:val="24"/>
          <w:bdr w:val="none" w:sz="0" w:space="0" w:color="auto" w:frame="1"/>
          <w:shd w:val="clear" w:color="auto" w:fill="FFFFFF"/>
          <w:lang w:eastAsia="en-US"/>
        </w:rPr>
        <w:t xml:space="preserve"> the right to speak for </w:t>
      </w:r>
      <w:r w:rsidRPr="00D758EA">
        <w:rPr>
          <w:rFonts w:ascii="Charter" w:eastAsia="Times New Roman" w:hAnsi="Charter" w:cs="Arial"/>
          <w:color w:val="000000"/>
          <w:sz w:val="24"/>
          <w:szCs w:val="24"/>
          <w:bdr w:val="none" w:sz="0" w:space="0" w:color="auto" w:frame="1"/>
          <w:shd w:val="clear" w:color="auto" w:fill="FFFFFF"/>
          <w:lang w:eastAsia="en-US"/>
        </w:rPr>
        <w:t>victims</w:t>
      </w:r>
      <w:r w:rsidRPr="00D758EA">
        <w:rPr>
          <w:rFonts w:ascii="Calibri" w:eastAsia="Times New Roman" w:hAnsi="Calibri" w:cs="Calibri"/>
          <w:color w:val="000000"/>
          <w:sz w:val="24"/>
          <w:szCs w:val="24"/>
          <w:shd w:val="clear" w:color="auto" w:fill="FFFFFF"/>
          <w:lang w:eastAsia="en-US"/>
        </w:rPr>
        <w:t> </w:t>
      </w:r>
      <w:r w:rsidRPr="00D758EA">
        <w:rPr>
          <w:rFonts w:ascii="Charter" w:eastAsia="Times New Roman" w:hAnsi="Charter" w:cs="Arial"/>
          <w:color w:val="000000"/>
          <w:sz w:val="24"/>
          <w:szCs w:val="24"/>
          <w:shd w:val="clear" w:color="auto" w:fill="FFFFFF"/>
          <w:lang w:eastAsia="en-US"/>
        </w:rPr>
        <w:t>when they have decided not to</w:t>
      </w:r>
      <w:r w:rsidRPr="00D758EA">
        <w:rPr>
          <w:rFonts w:ascii="Calibri" w:eastAsia="Times New Roman" w:hAnsi="Calibri" w:cs="Calibri"/>
          <w:color w:val="000000"/>
          <w:sz w:val="24"/>
          <w:szCs w:val="24"/>
          <w:shd w:val="clear" w:color="auto" w:fill="FFFFFF"/>
          <w:lang w:eastAsia="en-US"/>
        </w:rPr>
        <w:t> </w:t>
      </w:r>
      <w:r w:rsidRPr="00D758EA">
        <w:rPr>
          <w:rFonts w:ascii="Charter" w:eastAsia="Times New Roman" w:hAnsi="Charter" w:cs="Arial"/>
          <w:color w:val="000000"/>
          <w:sz w:val="24"/>
          <w:szCs w:val="24"/>
          <w:bdr w:val="none" w:sz="0" w:space="0" w:color="auto" w:frame="1"/>
          <w:shd w:val="clear" w:color="auto" w:fill="FFFFFF"/>
          <w:lang w:eastAsia="en-US"/>
        </w:rPr>
        <w:t>speak</w:t>
      </w:r>
      <w:r w:rsidRPr="00D758EA">
        <w:rPr>
          <w:rFonts w:ascii="Calibri" w:eastAsia="Times New Roman" w:hAnsi="Calibri" w:cs="Calibri"/>
          <w:color w:val="000000"/>
          <w:sz w:val="24"/>
          <w:szCs w:val="24"/>
          <w:shd w:val="clear" w:color="auto" w:fill="FFFFFF"/>
          <w:lang w:eastAsia="en-US"/>
        </w:rPr>
        <w:t> </w:t>
      </w:r>
      <w:r w:rsidRPr="00D758EA">
        <w:rPr>
          <w:rFonts w:ascii="Charter" w:eastAsia="Times New Roman" w:hAnsi="Charter" w:cs="Arial"/>
          <w:color w:val="000000"/>
          <w:sz w:val="24"/>
          <w:szCs w:val="24"/>
          <w:shd w:val="clear" w:color="auto" w:fill="FFFFFF"/>
          <w:lang w:eastAsia="en-US"/>
        </w:rPr>
        <w:t xml:space="preserve">for themselves and when </w:t>
      </w:r>
      <w:r w:rsidRPr="00D758EA">
        <w:rPr>
          <w:rFonts w:ascii="Charter" w:eastAsia="Times New Roman" w:hAnsi="Charter" w:cs="Arial"/>
          <w:color w:val="000000"/>
          <w:sz w:val="24"/>
          <w:szCs w:val="24"/>
          <w:shd w:val="clear" w:color="auto" w:fill="FFFFFF"/>
          <w:lang w:eastAsia="en-US"/>
        </w:rPr>
        <w:lastRenderedPageBreak/>
        <w:t>they have not requested the</w:t>
      </w:r>
      <w:r w:rsidRPr="00D758EA">
        <w:rPr>
          <w:rFonts w:ascii="Calibri" w:eastAsia="Times New Roman" w:hAnsi="Calibri" w:cs="Calibri"/>
          <w:color w:val="000000"/>
          <w:sz w:val="24"/>
          <w:szCs w:val="24"/>
          <w:shd w:val="clear" w:color="auto" w:fill="FFFFFF"/>
          <w:lang w:eastAsia="en-US"/>
        </w:rPr>
        <w:t> </w:t>
      </w:r>
      <w:r w:rsidRPr="00D758EA">
        <w:rPr>
          <w:rFonts w:ascii="Charter" w:eastAsia="Times New Roman" w:hAnsi="Charter" w:cs="Arial"/>
          <w:color w:val="000000"/>
          <w:sz w:val="24"/>
          <w:szCs w:val="24"/>
          <w:bdr w:val="none" w:sz="0" w:space="0" w:color="auto" w:frame="1"/>
          <w:shd w:val="clear" w:color="auto" w:fill="FFFFFF"/>
          <w:lang w:eastAsia="en-US"/>
        </w:rPr>
        <w:t>State's</w:t>
      </w:r>
      <w:r w:rsidRPr="00D758EA">
        <w:rPr>
          <w:rFonts w:ascii="Calibri" w:eastAsia="Times New Roman" w:hAnsi="Calibri" w:cs="Calibri"/>
          <w:color w:val="000000"/>
          <w:sz w:val="24"/>
          <w:szCs w:val="24"/>
          <w:shd w:val="clear" w:color="auto" w:fill="FFFFFF"/>
          <w:lang w:eastAsia="en-US"/>
        </w:rPr>
        <w:t> </w:t>
      </w:r>
      <w:r w:rsidRPr="00D758EA">
        <w:rPr>
          <w:rFonts w:ascii="Charter" w:eastAsia="Times New Roman" w:hAnsi="Charter" w:cs="Arial"/>
          <w:color w:val="000000"/>
          <w:sz w:val="24"/>
          <w:szCs w:val="24"/>
          <w:shd w:val="clear" w:color="auto" w:fill="FFFFFF"/>
          <w:lang w:eastAsia="en-US"/>
        </w:rPr>
        <w:t>assistance in otherwise communicating with the court.</w:t>
      </w:r>
      <w:r w:rsidRPr="00BB548C">
        <w:rPr>
          <w:rFonts w:ascii="Charter" w:eastAsia="Times New Roman" w:hAnsi="Charter" w:cs="Arial"/>
          <w:color w:val="000000"/>
          <w:sz w:val="24"/>
          <w:szCs w:val="24"/>
          <w:lang w:eastAsia="en-US"/>
        </w:rPr>
        <w:t xml:space="preserve"> </w:t>
      </w:r>
      <w:r w:rsidRPr="00D758EA">
        <w:rPr>
          <w:rFonts w:ascii="Charter" w:eastAsia="Times New Roman" w:hAnsi="Charter" w:cs="Arial"/>
          <w:i/>
          <w:iCs/>
          <w:color w:val="000000"/>
          <w:sz w:val="24"/>
          <w:szCs w:val="24"/>
          <w:bdr w:val="none" w:sz="0" w:space="0" w:color="auto" w:frame="1"/>
          <w:lang w:eastAsia="en-US"/>
        </w:rPr>
        <w:t>State v. MacDonald</w:t>
      </w:r>
      <w:r w:rsidRPr="00D758EA">
        <w:rPr>
          <w:rFonts w:ascii="Charter" w:eastAsia="Times New Roman" w:hAnsi="Charter" w:cs="Arial"/>
          <w:color w:val="000000"/>
          <w:sz w:val="24"/>
          <w:szCs w:val="24"/>
          <w:lang w:eastAsia="en-US"/>
        </w:rPr>
        <w:t>, 183 Wn.2d 1, 21, 346 P.3d 748, 758 (2015),</w:t>
      </w:r>
      <w:r w:rsidRPr="00D758EA">
        <w:rPr>
          <w:rFonts w:ascii="Calibri" w:eastAsia="Times New Roman" w:hAnsi="Calibri" w:cs="Calibri"/>
          <w:color w:val="000000"/>
          <w:sz w:val="24"/>
          <w:szCs w:val="24"/>
          <w:lang w:eastAsia="en-US"/>
        </w:rPr>
        <w:t> </w:t>
      </w:r>
      <w:r w:rsidRPr="00D758EA">
        <w:rPr>
          <w:rFonts w:ascii="Charter" w:eastAsia="Times New Roman" w:hAnsi="Charter" w:cs="Arial"/>
          <w:i/>
          <w:iCs/>
          <w:color w:val="000000"/>
          <w:sz w:val="24"/>
          <w:szCs w:val="24"/>
          <w:bdr w:val="none" w:sz="0" w:space="0" w:color="auto" w:frame="1"/>
          <w:lang w:eastAsia="en-US"/>
        </w:rPr>
        <w:t>as corrected</w:t>
      </w:r>
      <w:r w:rsidRPr="00D758EA">
        <w:rPr>
          <w:rFonts w:ascii="Calibri" w:eastAsia="Times New Roman" w:hAnsi="Calibri" w:cs="Calibri"/>
          <w:color w:val="000000"/>
          <w:sz w:val="24"/>
          <w:szCs w:val="24"/>
          <w:lang w:eastAsia="en-US"/>
        </w:rPr>
        <w:t> </w:t>
      </w:r>
      <w:r w:rsidRPr="00D758EA">
        <w:rPr>
          <w:rFonts w:ascii="Charter" w:eastAsia="Times New Roman" w:hAnsi="Charter" w:cs="Arial"/>
          <w:color w:val="000000"/>
          <w:sz w:val="24"/>
          <w:szCs w:val="24"/>
          <w:lang w:eastAsia="en-US"/>
        </w:rPr>
        <w:t>(Apr. 13, 2015)</w:t>
      </w:r>
      <w:r w:rsidRPr="00BB548C">
        <w:rPr>
          <w:rFonts w:ascii="Charter" w:eastAsia="Times New Roman" w:hAnsi="Charter" w:cs="Arial"/>
          <w:color w:val="000000"/>
          <w:sz w:val="24"/>
          <w:szCs w:val="24"/>
          <w:lang w:eastAsia="en-US"/>
        </w:rPr>
        <w:t xml:space="preserve">.   </w:t>
      </w:r>
      <w:r w:rsidR="003C25AB">
        <w:rPr>
          <w:rFonts w:ascii="Charter" w:eastAsia="Times New Roman" w:hAnsi="Charter" w:cs="Arial"/>
          <w:color w:val="000000"/>
          <w:sz w:val="24"/>
          <w:szCs w:val="24"/>
          <w:lang w:eastAsia="en-US"/>
        </w:rPr>
        <w:t xml:space="preserve"> </w:t>
      </w:r>
    </w:p>
    <w:p w14:paraId="3B184B25" w14:textId="65EB488E" w:rsidR="003C25AB" w:rsidRPr="00445FAF" w:rsidRDefault="003C25AB" w:rsidP="003C25AB">
      <w:pPr>
        <w:ind w:firstLine="720"/>
        <w:jc w:val="both"/>
        <w:rPr>
          <w:rFonts w:ascii="Charter" w:hAnsi="Charter"/>
          <w:sz w:val="24"/>
          <w:szCs w:val="24"/>
        </w:rPr>
      </w:pPr>
      <w:r w:rsidRPr="00445FAF">
        <w:rPr>
          <w:rFonts w:ascii="Charter" w:hAnsi="Charter"/>
          <w:sz w:val="24"/>
          <w:szCs w:val="24"/>
        </w:rPr>
        <w:t>Notably, Kevin Castellon is Latino.  In a concurring opinion, Justice Yu, joined with Justices Gonzales and Madsen cautioned</w:t>
      </w:r>
      <w:r>
        <w:rPr>
          <w:rFonts w:ascii="Charter" w:hAnsi="Charter"/>
          <w:sz w:val="24"/>
          <w:szCs w:val="24"/>
        </w:rPr>
        <w:t xml:space="preserve"> on th</w:t>
      </w:r>
      <w:r w:rsidR="00053536">
        <w:rPr>
          <w:rFonts w:ascii="Charter" w:hAnsi="Charter"/>
          <w:sz w:val="24"/>
          <w:szCs w:val="24"/>
        </w:rPr>
        <w:t>e system’s disparate impact on youth of color</w:t>
      </w:r>
      <w:r w:rsidRPr="00445FAF">
        <w:rPr>
          <w:rFonts w:ascii="Charter" w:hAnsi="Charter"/>
          <w:sz w:val="24"/>
          <w:szCs w:val="24"/>
        </w:rPr>
        <w:t>:</w:t>
      </w:r>
      <w:r w:rsidRPr="00445FAF">
        <w:rPr>
          <w:rFonts w:ascii="Charter" w:hAnsi="Charter" w:cstheme="minorHAnsi"/>
          <w:sz w:val="24"/>
          <w:szCs w:val="24"/>
        </w:rPr>
        <w:t xml:space="preserve"> </w:t>
      </w:r>
    </w:p>
    <w:p w14:paraId="2E07A734" w14:textId="77777777" w:rsidR="003C25AB" w:rsidRPr="00445FAF" w:rsidRDefault="003C25AB" w:rsidP="003C25AB">
      <w:pPr>
        <w:spacing w:line="240" w:lineRule="auto"/>
        <w:ind w:left="1440" w:right="1530" w:firstLine="0"/>
        <w:jc w:val="both"/>
        <w:rPr>
          <w:rFonts w:ascii="Charter" w:hAnsi="Charter" w:cstheme="minorHAnsi"/>
          <w:sz w:val="24"/>
          <w:szCs w:val="24"/>
        </w:rPr>
      </w:pPr>
      <w:r w:rsidRPr="00445FAF">
        <w:rPr>
          <w:rFonts w:ascii="Charter" w:hAnsi="Charter" w:cstheme="minorHAnsi"/>
          <w:sz w:val="24"/>
          <w:szCs w:val="24"/>
        </w:rPr>
        <w:t xml:space="preserve">When considering life sentences, it is also important to recognize the disparate impacts that the criminal justice system has on people of color.  This necessarily results in disparate impact on the imposition of life sentences.  One size fits all approaches to sentencing reveal the institutional and systemic biases of our society. The effects of disproportionate enforcement of criminal laws against people of color, especially African Americans, will continue – exaggerated by laws that limit the discretion of trial judges in sentencing decisions. We can and must avoid the imposition of a cruel punishment by providing an opportunity for release to every convicted defendant.  </w:t>
      </w:r>
    </w:p>
    <w:p w14:paraId="76A64AC8" w14:textId="77777777" w:rsidR="003C25AB" w:rsidRPr="00445FAF" w:rsidRDefault="003C25AB" w:rsidP="003C25AB">
      <w:pPr>
        <w:spacing w:line="240" w:lineRule="auto"/>
        <w:ind w:left="1440" w:right="1530" w:firstLine="0"/>
        <w:jc w:val="both"/>
        <w:rPr>
          <w:rFonts w:ascii="Charter" w:hAnsi="Charter"/>
          <w:sz w:val="24"/>
          <w:szCs w:val="24"/>
        </w:rPr>
      </w:pPr>
    </w:p>
    <w:p w14:paraId="7D577DB5" w14:textId="07B29AE4" w:rsidR="00053536" w:rsidRDefault="003C25AB" w:rsidP="003C25AB">
      <w:pPr>
        <w:spacing w:line="240" w:lineRule="auto"/>
        <w:ind w:right="1530" w:firstLine="0"/>
        <w:jc w:val="both"/>
        <w:rPr>
          <w:rFonts w:ascii="Charter" w:hAnsi="Charter" w:cstheme="minorHAnsi"/>
          <w:sz w:val="24"/>
          <w:szCs w:val="24"/>
        </w:rPr>
      </w:pPr>
      <w:r w:rsidRPr="00445FAF">
        <w:rPr>
          <w:rFonts w:ascii="Charter" w:hAnsi="Charter" w:cstheme="minorHAnsi"/>
          <w:i/>
          <w:sz w:val="24"/>
          <w:szCs w:val="24"/>
        </w:rPr>
        <w:t xml:space="preserve">State v. Moretti, </w:t>
      </w:r>
      <w:r w:rsidRPr="00445FAF">
        <w:rPr>
          <w:rFonts w:ascii="Charter" w:hAnsi="Charter" w:cstheme="minorHAnsi"/>
          <w:sz w:val="24"/>
          <w:szCs w:val="24"/>
        </w:rPr>
        <w:t>__ Wn.2d ___, (No. 95263-</w:t>
      </w:r>
      <w:proofErr w:type="gramStart"/>
      <w:r w:rsidRPr="00445FAF">
        <w:rPr>
          <w:rFonts w:ascii="Charter" w:hAnsi="Charter" w:cstheme="minorHAnsi"/>
          <w:sz w:val="24"/>
          <w:szCs w:val="24"/>
        </w:rPr>
        <w:t>9</w:t>
      </w:r>
      <w:r w:rsidR="006A781F">
        <w:rPr>
          <w:rFonts w:ascii="Charter" w:hAnsi="Charter" w:cstheme="minorHAnsi"/>
          <w:sz w:val="24"/>
          <w:szCs w:val="24"/>
        </w:rPr>
        <w:t>)</w:t>
      </w:r>
      <w:r w:rsidRPr="00445FAF">
        <w:rPr>
          <w:rFonts w:ascii="Charter" w:hAnsi="Charter" w:cstheme="minorHAnsi"/>
          <w:sz w:val="24"/>
          <w:szCs w:val="24"/>
        </w:rPr>
        <w:t>(</w:t>
      </w:r>
      <w:proofErr w:type="gramEnd"/>
      <w:r w:rsidRPr="00445FAF">
        <w:rPr>
          <w:rFonts w:ascii="Charter" w:hAnsi="Charter" w:cstheme="minorHAnsi"/>
          <w:sz w:val="24"/>
          <w:szCs w:val="24"/>
        </w:rPr>
        <w:t>Aug. 15, 2019).</w:t>
      </w:r>
    </w:p>
    <w:p w14:paraId="56F14BB2" w14:textId="77777777" w:rsidR="00053536" w:rsidRPr="003C25AB" w:rsidRDefault="00053536" w:rsidP="003C25AB">
      <w:pPr>
        <w:spacing w:line="240" w:lineRule="auto"/>
        <w:ind w:right="1530" w:firstLine="0"/>
        <w:jc w:val="both"/>
        <w:rPr>
          <w:rFonts w:ascii="Charter" w:hAnsi="Charter" w:cstheme="minorHAnsi"/>
          <w:sz w:val="24"/>
          <w:szCs w:val="24"/>
        </w:rPr>
      </w:pPr>
    </w:p>
    <w:p w14:paraId="6907E097" w14:textId="5ED89393" w:rsidR="00021EEA" w:rsidRDefault="003A3D9C" w:rsidP="00CC3BEA">
      <w:pPr>
        <w:pStyle w:val="ListParagraph"/>
        <w:numPr>
          <w:ilvl w:val="0"/>
          <w:numId w:val="31"/>
        </w:numPr>
        <w:spacing w:line="240" w:lineRule="auto"/>
        <w:ind w:right="90"/>
        <w:jc w:val="both"/>
        <w:rPr>
          <w:rFonts w:ascii="Charter" w:eastAsia="Times New Roman" w:hAnsi="Charter" w:cs="Arial"/>
          <w:b/>
          <w:bCs/>
          <w:color w:val="000000"/>
          <w:sz w:val="24"/>
          <w:szCs w:val="24"/>
          <w:lang w:eastAsia="en-US"/>
        </w:rPr>
      </w:pPr>
      <w:r>
        <w:rPr>
          <w:rFonts w:ascii="Charter" w:eastAsia="Times New Roman" w:hAnsi="Charter" w:cs="Arial"/>
          <w:b/>
          <w:bCs/>
          <w:color w:val="000000"/>
          <w:sz w:val="24"/>
          <w:szCs w:val="24"/>
          <w:lang w:eastAsia="en-US"/>
        </w:rPr>
        <w:t xml:space="preserve">A Plea Agreement Between the State and the Defense and Does Not </w:t>
      </w:r>
      <w:r w:rsidR="00BD1394">
        <w:rPr>
          <w:rFonts w:ascii="Charter" w:eastAsia="Times New Roman" w:hAnsi="Charter" w:cs="Arial"/>
          <w:b/>
          <w:bCs/>
          <w:color w:val="000000"/>
          <w:sz w:val="24"/>
          <w:szCs w:val="24"/>
          <w:lang w:eastAsia="en-US"/>
        </w:rPr>
        <w:t xml:space="preserve">Constrain This Court’s Duty to Conduct a Full Sentencing Hearing. </w:t>
      </w:r>
    </w:p>
    <w:p w14:paraId="213C2E3B" w14:textId="77777777" w:rsidR="000241FA" w:rsidRPr="00CC3BEA" w:rsidRDefault="000241FA" w:rsidP="000241FA">
      <w:pPr>
        <w:pStyle w:val="ListParagraph"/>
        <w:spacing w:line="240" w:lineRule="auto"/>
        <w:ind w:left="1080" w:right="90" w:firstLine="0"/>
        <w:jc w:val="both"/>
        <w:rPr>
          <w:rFonts w:ascii="Charter" w:eastAsia="Times New Roman" w:hAnsi="Charter" w:cs="Arial"/>
          <w:b/>
          <w:bCs/>
          <w:color w:val="000000"/>
          <w:sz w:val="24"/>
          <w:szCs w:val="24"/>
          <w:lang w:eastAsia="en-US"/>
        </w:rPr>
      </w:pPr>
    </w:p>
    <w:p w14:paraId="13822DDA" w14:textId="15FEE9CC" w:rsidR="00021EEA" w:rsidRPr="00021EEA" w:rsidRDefault="00021EEA" w:rsidP="00021EEA">
      <w:pPr>
        <w:ind w:firstLine="720"/>
        <w:jc w:val="both"/>
        <w:rPr>
          <w:rFonts w:ascii="Charter" w:hAnsi="Charter" w:cs="Times New Roman"/>
          <w:sz w:val="24"/>
          <w:szCs w:val="24"/>
        </w:rPr>
      </w:pPr>
      <w:r>
        <w:rPr>
          <w:rFonts w:ascii="Charter" w:hAnsi="Charter" w:cs="Times New Roman"/>
          <w:sz w:val="24"/>
          <w:szCs w:val="24"/>
        </w:rPr>
        <w:t>U</w:t>
      </w:r>
      <w:r w:rsidRPr="00021EEA">
        <w:rPr>
          <w:rFonts w:ascii="Charter" w:hAnsi="Charter" w:cs="Times New Roman"/>
          <w:sz w:val="24"/>
          <w:szCs w:val="24"/>
        </w:rPr>
        <w:t xml:space="preserve">nder the due process clause of the federal and state constitutions as well as RCW 9.94A.431, a defendant is entitled to have their sentence meaningfully considered by the court. </w:t>
      </w:r>
    </w:p>
    <w:p w14:paraId="0425D160" w14:textId="3E9B1F84" w:rsidR="00021EEA" w:rsidRPr="00021EEA" w:rsidRDefault="00021EEA" w:rsidP="000241FA">
      <w:pPr>
        <w:ind w:firstLine="720"/>
        <w:jc w:val="both"/>
        <w:rPr>
          <w:rFonts w:ascii="Charter" w:hAnsi="Charter" w:cs="Times New Roman"/>
          <w:sz w:val="24"/>
          <w:szCs w:val="24"/>
        </w:rPr>
      </w:pPr>
      <w:r w:rsidRPr="00021EEA">
        <w:rPr>
          <w:rFonts w:ascii="Charter" w:hAnsi="Charter" w:cs="Times New Roman"/>
          <w:sz w:val="24"/>
          <w:szCs w:val="24"/>
        </w:rPr>
        <w:lastRenderedPageBreak/>
        <w:t xml:space="preserve">The mere fact that the state believes that Mr. Castellon’s plea deal was “light” has no bearing on Mr. Castellon’s rights nor the court’s obligations in sentencing. Prosecutors are not arbiters in criminal proceedings; criminal defendants have a constitutional right and statutory right to be sentenced by the court. </w:t>
      </w:r>
    </w:p>
    <w:p w14:paraId="68B122CA" w14:textId="0E5015F4" w:rsidR="001E191C" w:rsidRDefault="00021EEA" w:rsidP="001E191C">
      <w:pPr>
        <w:ind w:firstLine="720"/>
        <w:jc w:val="both"/>
        <w:rPr>
          <w:rFonts w:ascii="Charter" w:hAnsi="Charter" w:cs="Times New Roman"/>
          <w:sz w:val="24"/>
          <w:szCs w:val="24"/>
        </w:rPr>
      </w:pPr>
      <w:r w:rsidRPr="00021EEA">
        <w:rPr>
          <w:rFonts w:ascii="Charter" w:hAnsi="Charter" w:cs="Times New Roman"/>
          <w:sz w:val="24"/>
          <w:szCs w:val="24"/>
        </w:rPr>
        <w:t xml:space="preserve">Every defendant in Washington is afforded due process of law. U.S. Const. amend. VXIV; Wash. Const. art. I, § 3. A fundamental part of procedural due process is the right to be heard “in a meaningful manner.” </w:t>
      </w:r>
      <w:r w:rsidRPr="00021EEA">
        <w:rPr>
          <w:rFonts w:ascii="Charter" w:hAnsi="Charter" w:cs="Times New Roman"/>
          <w:i/>
          <w:iCs/>
          <w:sz w:val="24"/>
          <w:szCs w:val="24"/>
        </w:rPr>
        <w:t>Downey v. Pierce County</w:t>
      </w:r>
      <w:r w:rsidRPr="00021EEA">
        <w:rPr>
          <w:rFonts w:ascii="Charter" w:hAnsi="Charter" w:cs="Times New Roman"/>
          <w:sz w:val="24"/>
          <w:szCs w:val="24"/>
        </w:rPr>
        <w:t xml:space="preserve">, 165 Wn.App. 152, 165, 267 P.3d 445 (2011) (internal quotations omitted). Under this principle, every defendant is entitled to request a lawful sentence and to actually have that proposed sentence meaningfully considered by the court. </w:t>
      </w:r>
      <w:r w:rsidRPr="00021EEA">
        <w:rPr>
          <w:rFonts w:ascii="Charter" w:hAnsi="Charter" w:cs="Times New Roman"/>
          <w:i/>
          <w:iCs/>
          <w:sz w:val="24"/>
          <w:szCs w:val="24"/>
        </w:rPr>
        <w:t>State v. Grayson</w:t>
      </w:r>
      <w:r w:rsidRPr="00021EEA">
        <w:rPr>
          <w:rFonts w:ascii="Charter" w:hAnsi="Charter" w:cs="Times New Roman"/>
          <w:sz w:val="24"/>
          <w:szCs w:val="24"/>
        </w:rPr>
        <w:t>, 154 Wn. 2d 333, 342, 111 P.3d 1183 (2005)</w:t>
      </w:r>
      <w:r w:rsidR="00BC1070">
        <w:rPr>
          <w:rFonts w:ascii="Charter" w:hAnsi="Charter" w:cs="Times New Roman"/>
          <w:sz w:val="24"/>
          <w:szCs w:val="24"/>
        </w:rPr>
        <w:t>.</w:t>
      </w:r>
    </w:p>
    <w:p w14:paraId="15B79F6C" w14:textId="2A2583C0" w:rsidR="00021EEA" w:rsidRPr="00021EEA" w:rsidRDefault="00021EEA" w:rsidP="001E191C">
      <w:pPr>
        <w:ind w:firstLine="720"/>
        <w:jc w:val="both"/>
        <w:rPr>
          <w:rFonts w:ascii="Charter" w:hAnsi="Charter" w:cs="Times New Roman"/>
          <w:sz w:val="24"/>
          <w:szCs w:val="24"/>
        </w:rPr>
      </w:pPr>
      <w:r w:rsidRPr="00021EEA">
        <w:rPr>
          <w:rFonts w:ascii="Charter" w:hAnsi="Charter" w:cs="Times New Roman"/>
          <w:sz w:val="24"/>
          <w:szCs w:val="24"/>
        </w:rPr>
        <w:t xml:space="preserve">As such, the court is not in any way bound by a plea agreement reached between the state and a defendant. RCW 9.94A.431(2). A trial court has the ultimate authority to reject a plea agreement if the agreement “is inconsistent with the interests of justice or with prosecuting standards” and the state has a statutory duty to inform the defendant of the non-binding nature of any plea agreement </w:t>
      </w:r>
      <w:r w:rsidR="009D35FE" w:rsidRPr="00021EEA">
        <w:rPr>
          <w:rFonts w:ascii="Charter" w:hAnsi="Charter" w:cs="Times New Roman"/>
          <w:sz w:val="24"/>
          <w:szCs w:val="24"/>
        </w:rPr>
        <w:t>entered</w:t>
      </w:r>
      <w:r w:rsidRPr="00021EEA">
        <w:rPr>
          <w:rFonts w:ascii="Charter" w:hAnsi="Charter" w:cs="Times New Roman"/>
          <w:sz w:val="24"/>
          <w:szCs w:val="24"/>
        </w:rPr>
        <w:t xml:space="preserve"> between the parties. RCW 9.94A.431(2). </w:t>
      </w:r>
    </w:p>
    <w:p w14:paraId="6045FA4B" w14:textId="3F7CB00F" w:rsidR="00BB3CEA" w:rsidRPr="00E1573A" w:rsidRDefault="00872A3B" w:rsidP="00BB3CEA">
      <w:pPr>
        <w:pStyle w:val="ListParagraph"/>
        <w:numPr>
          <w:ilvl w:val="0"/>
          <w:numId w:val="31"/>
        </w:numPr>
        <w:rPr>
          <w:rFonts w:ascii="Charter" w:hAnsi="Charter" w:cs="Times New Roman"/>
          <w:b/>
          <w:bCs/>
          <w:sz w:val="24"/>
          <w:szCs w:val="24"/>
        </w:rPr>
      </w:pPr>
      <w:r>
        <w:rPr>
          <w:rFonts w:ascii="Charter" w:hAnsi="Charter" w:cs="Times New Roman"/>
          <w:b/>
          <w:bCs/>
          <w:sz w:val="24"/>
          <w:szCs w:val="24"/>
        </w:rPr>
        <w:t xml:space="preserve">A Resentencing Hearing Is Not a Redundancy or Perfunctory.  </w:t>
      </w:r>
    </w:p>
    <w:p w14:paraId="325D21A8" w14:textId="77777777" w:rsidR="007F766A" w:rsidRDefault="00983009" w:rsidP="00872A3B">
      <w:pPr>
        <w:ind w:firstLine="0"/>
        <w:jc w:val="both"/>
        <w:rPr>
          <w:rFonts w:ascii="Charter" w:hAnsi="Charter" w:cstheme="minorHAnsi"/>
          <w:sz w:val="24"/>
          <w:szCs w:val="24"/>
        </w:rPr>
      </w:pPr>
      <w:r w:rsidRPr="00445FAF">
        <w:rPr>
          <w:rFonts w:ascii="Charter" w:hAnsi="Charter"/>
          <w:sz w:val="24"/>
          <w:szCs w:val="24"/>
        </w:rPr>
        <w:tab/>
        <w:t>In an analogous settin</w:t>
      </w:r>
      <w:r w:rsidRPr="00872A3B">
        <w:rPr>
          <w:rFonts w:ascii="Charter" w:hAnsi="Charter"/>
          <w:sz w:val="24"/>
          <w:szCs w:val="24"/>
        </w:rPr>
        <w:t>g</w:t>
      </w:r>
      <w:r w:rsidR="00872A3B">
        <w:rPr>
          <w:rFonts w:ascii="Charter" w:hAnsi="Charter"/>
          <w:sz w:val="24"/>
          <w:szCs w:val="24"/>
        </w:rPr>
        <w:t xml:space="preserve">, </w:t>
      </w:r>
      <w:r w:rsidRPr="00872A3B">
        <w:rPr>
          <w:rFonts w:ascii="Charter" w:hAnsi="Charter"/>
          <w:i/>
          <w:iCs/>
          <w:sz w:val="24"/>
          <w:szCs w:val="24"/>
        </w:rPr>
        <w:t xml:space="preserve">State v. </w:t>
      </w:r>
      <w:proofErr w:type="spellStart"/>
      <w:r w:rsidRPr="00872A3B">
        <w:rPr>
          <w:rFonts w:ascii="Charter" w:hAnsi="Charter"/>
          <w:i/>
          <w:iCs/>
          <w:sz w:val="24"/>
          <w:szCs w:val="24"/>
        </w:rPr>
        <w:t>Delbosque</w:t>
      </w:r>
      <w:proofErr w:type="spellEnd"/>
      <w:r w:rsidRPr="00445FAF">
        <w:rPr>
          <w:rFonts w:ascii="Charter" w:hAnsi="Charter"/>
          <w:sz w:val="24"/>
          <w:szCs w:val="24"/>
        </w:rPr>
        <w:t>, ___ Wn.2d ___ (No. 96709-</w:t>
      </w:r>
      <w:proofErr w:type="gramStart"/>
      <w:r w:rsidRPr="00445FAF">
        <w:rPr>
          <w:rFonts w:ascii="Charter" w:hAnsi="Charter"/>
          <w:sz w:val="24"/>
          <w:szCs w:val="24"/>
        </w:rPr>
        <w:t>1)(</w:t>
      </w:r>
      <w:proofErr w:type="gramEnd"/>
      <w:r w:rsidRPr="00445FAF">
        <w:rPr>
          <w:rFonts w:ascii="Charter" w:hAnsi="Charter"/>
          <w:sz w:val="24"/>
          <w:szCs w:val="24"/>
        </w:rPr>
        <w:t xml:space="preserve">Jan. 30, 2020)(J. Yu, 9-0), the Washington Supreme Court, for a defendant resentenced </w:t>
      </w:r>
      <w:r w:rsidRPr="00445FAF">
        <w:rPr>
          <w:rFonts w:ascii="Charter" w:hAnsi="Charter"/>
          <w:sz w:val="24"/>
          <w:szCs w:val="24"/>
        </w:rPr>
        <w:lastRenderedPageBreak/>
        <w:t xml:space="preserve">under </w:t>
      </w:r>
      <w:r w:rsidRPr="00445FAF">
        <w:rPr>
          <w:rFonts w:ascii="Charter" w:hAnsi="Charter"/>
          <w:i/>
          <w:iCs/>
          <w:sz w:val="24"/>
          <w:szCs w:val="24"/>
        </w:rPr>
        <w:t>Miller</w:t>
      </w:r>
      <w:r w:rsidRPr="00445FAF">
        <w:rPr>
          <w:rFonts w:ascii="Charter" w:hAnsi="Charter"/>
          <w:sz w:val="24"/>
          <w:szCs w:val="24"/>
        </w:rPr>
        <w:t>, noted that “p</w:t>
      </w:r>
      <w:r w:rsidRPr="00445FAF">
        <w:rPr>
          <w:rFonts w:ascii="Charter" w:hAnsi="Charter" w:cstheme="minorHAnsi"/>
          <w:sz w:val="24"/>
          <w:szCs w:val="24"/>
        </w:rPr>
        <w:t>redicting a juvenile’s future dangerousness is extremely difficult…For this reason, resentencing courts must consider the measure of rehabilitation that has occurred since a youth was originally sentenced to life without parole.</w:t>
      </w:r>
      <w:r w:rsidRPr="00445FAF">
        <w:rPr>
          <w:rFonts w:ascii="Charter" w:hAnsi="Charter" w:cstheme="minorHAnsi"/>
          <w:i/>
          <w:iCs/>
          <w:sz w:val="24"/>
          <w:szCs w:val="24"/>
        </w:rPr>
        <w:t>”</w:t>
      </w:r>
      <w:r w:rsidRPr="00445FAF">
        <w:rPr>
          <w:rFonts w:ascii="Charter" w:hAnsi="Charter" w:cstheme="minorHAnsi"/>
          <w:sz w:val="24"/>
          <w:szCs w:val="24"/>
        </w:rPr>
        <w:t xml:space="preserve">  </w:t>
      </w:r>
    </w:p>
    <w:p w14:paraId="07CCECAD" w14:textId="1D5A7592" w:rsidR="00983009" w:rsidRDefault="00983009" w:rsidP="007F766A">
      <w:pPr>
        <w:ind w:firstLine="720"/>
        <w:jc w:val="both"/>
        <w:rPr>
          <w:rFonts w:ascii="Charter" w:hAnsi="Charter" w:cstheme="minorHAnsi"/>
          <w:sz w:val="24"/>
          <w:szCs w:val="24"/>
        </w:rPr>
      </w:pPr>
      <w:r w:rsidRPr="00445FAF">
        <w:rPr>
          <w:rFonts w:ascii="Charter" w:hAnsi="Charter" w:cstheme="minorHAnsi"/>
          <w:sz w:val="24"/>
          <w:szCs w:val="24"/>
        </w:rPr>
        <w:t xml:space="preserve">The Court found that the sentencing court failed to acknowledge evidence supporting the defendant’s capacity for rehabilitation and change, at odds with the </w:t>
      </w:r>
      <w:r w:rsidRPr="00445FAF">
        <w:rPr>
          <w:rFonts w:ascii="Charter" w:hAnsi="Charter" w:cstheme="minorHAnsi"/>
          <w:i/>
          <w:iCs/>
          <w:sz w:val="24"/>
          <w:szCs w:val="24"/>
        </w:rPr>
        <w:t>Miller</w:t>
      </w:r>
      <w:r w:rsidRPr="00445FAF">
        <w:rPr>
          <w:rFonts w:ascii="Charter" w:hAnsi="Charter" w:cstheme="minorHAnsi"/>
          <w:sz w:val="24"/>
          <w:szCs w:val="24"/>
        </w:rPr>
        <w:t xml:space="preserve"> requirement to consider mitigating factors that account for the diminished culpability of youth,” including “the youth’s chances of becoming rehabilitated.”  </w:t>
      </w:r>
      <w:r w:rsidRPr="00445FAF">
        <w:rPr>
          <w:rFonts w:ascii="Charter" w:hAnsi="Charter" w:cstheme="minorHAnsi"/>
          <w:i/>
          <w:iCs/>
          <w:sz w:val="24"/>
          <w:szCs w:val="24"/>
        </w:rPr>
        <w:t>Id.</w:t>
      </w:r>
      <w:r w:rsidRPr="00445FAF">
        <w:rPr>
          <w:rFonts w:ascii="Charter" w:hAnsi="Charter" w:cstheme="minorHAnsi"/>
          <w:sz w:val="24"/>
          <w:szCs w:val="24"/>
        </w:rPr>
        <w:t xml:space="preserve">; </w:t>
      </w:r>
      <w:r w:rsidRPr="00445FAF">
        <w:rPr>
          <w:rFonts w:ascii="Charter" w:hAnsi="Charter" w:cstheme="minorHAnsi"/>
          <w:i/>
          <w:iCs/>
          <w:sz w:val="24"/>
          <w:szCs w:val="24"/>
        </w:rPr>
        <w:t>see also e.g. State v. Alltus</w:t>
      </w:r>
      <w:r w:rsidRPr="00445FAF">
        <w:rPr>
          <w:rFonts w:ascii="Charter" w:hAnsi="Charter" w:cstheme="minorHAnsi"/>
          <w:sz w:val="24"/>
          <w:szCs w:val="24"/>
        </w:rPr>
        <w:t xml:space="preserve">, ___ Wn.App. ___ (Div. </w:t>
      </w:r>
      <w:proofErr w:type="gramStart"/>
      <w:r w:rsidRPr="00445FAF">
        <w:rPr>
          <w:rFonts w:ascii="Charter" w:hAnsi="Charter" w:cstheme="minorHAnsi"/>
          <w:sz w:val="24"/>
          <w:szCs w:val="24"/>
        </w:rPr>
        <w:t>III)(</w:t>
      </w:r>
      <w:proofErr w:type="gramEnd"/>
      <w:r w:rsidRPr="00445FAF">
        <w:rPr>
          <w:rFonts w:ascii="Charter" w:hAnsi="Charter" w:cstheme="minorHAnsi"/>
          <w:sz w:val="24"/>
          <w:szCs w:val="24"/>
        </w:rPr>
        <w:t xml:space="preserve">No. 35677-3)(Aug. 22, 2019). </w:t>
      </w:r>
      <w:r w:rsidR="0051522B">
        <w:rPr>
          <w:rFonts w:ascii="Charter" w:hAnsi="Charter" w:cstheme="minorHAnsi"/>
          <w:sz w:val="24"/>
          <w:szCs w:val="24"/>
        </w:rPr>
        <w:t xml:space="preserve"> </w:t>
      </w:r>
    </w:p>
    <w:p w14:paraId="26349651" w14:textId="4DD7FC85" w:rsidR="003C25AB" w:rsidRPr="003C25AB" w:rsidRDefault="002E7E26" w:rsidP="003C25AB">
      <w:pPr>
        <w:ind w:firstLine="0"/>
        <w:jc w:val="both"/>
        <w:rPr>
          <w:rFonts w:ascii="Charter" w:hAnsi="Charter" w:cstheme="minorHAnsi"/>
          <w:sz w:val="24"/>
          <w:szCs w:val="24"/>
        </w:rPr>
      </w:pPr>
      <w:r>
        <w:rPr>
          <w:rFonts w:ascii="Charter" w:hAnsi="Charter" w:cstheme="minorHAnsi"/>
          <w:sz w:val="24"/>
          <w:szCs w:val="24"/>
        </w:rPr>
        <w:tab/>
        <w:t xml:space="preserve">Here, of course, to properly re-sentence Mr. Castellon, the Court must be apprised of his rehabilitation since it originally sentenced him.  </w:t>
      </w:r>
      <w:r>
        <w:rPr>
          <w:rFonts w:ascii="Charter" w:hAnsi="Charter" w:cstheme="minorHAnsi"/>
          <w:i/>
          <w:iCs/>
          <w:sz w:val="24"/>
          <w:szCs w:val="24"/>
        </w:rPr>
        <w:t xml:space="preserve">See e.g., </w:t>
      </w:r>
      <w:r>
        <w:rPr>
          <w:rFonts w:ascii="Charter" w:hAnsi="Charter" w:cstheme="minorHAnsi"/>
          <w:sz w:val="24"/>
          <w:szCs w:val="24"/>
        </w:rPr>
        <w:t xml:space="preserve">Appendix A. </w:t>
      </w:r>
    </w:p>
    <w:p w14:paraId="62FF38E8" w14:textId="77777777" w:rsidR="00BD1394" w:rsidRPr="00BD1394" w:rsidRDefault="00BD1394" w:rsidP="00BD1394">
      <w:pPr>
        <w:spacing w:line="240" w:lineRule="auto"/>
        <w:ind w:right="90"/>
        <w:jc w:val="both"/>
        <w:rPr>
          <w:rFonts w:ascii="Charter" w:eastAsia="Times New Roman" w:hAnsi="Charter" w:cs="Arial"/>
          <w:b/>
          <w:bCs/>
          <w:color w:val="000000"/>
          <w:sz w:val="24"/>
          <w:szCs w:val="24"/>
          <w:lang w:eastAsia="en-US"/>
        </w:rPr>
      </w:pPr>
    </w:p>
    <w:p w14:paraId="7B8EB189" w14:textId="0BBD1281" w:rsidR="00E83789" w:rsidRPr="00445FAF" w:rsidRDefault="00E83789" w:rsidP="004C271C">
      <w:pPr>
        <w:ind w:left="2160"/>
        <w:rPr>
          <w:rFonts w:ascii="Charter" w:hAnsi="Charter"/>
          <w:sz w:val="24"/>
          <w:szCs w:val="24"/>
        </w:rPr>
      </w:pPr>
      <w:r w:rsidRPr="00445FAF">
        <w:rPr>
          <w:rFonts w:ascii="Charter" w:hAnsi="Charter"/>
          <w:sz w:val="24"/>
          <w:szCs w:val="24"/>
        </w:rPr>
        <w:t>DATED this</w:t>
      </w:r>
      <w:r w:rsidR="00931AEE" w:rsidRPr="00445FAF">
        <w:rPr>
          <w:rFonts w:ascii="Charter" w:hAnsi="Charter"/>
          <w:sz w:val="24"/>
          <w:szCs w:val="24"/>
        </w:rPr>
        <w:t xml:space="preserve"> </w:t>
      </w:r>
      <w:r w:rsidR="004C271C">
        <w:rPr>
          <w:rFonts w:ascii="Charter" w:hAnsi="Charter"/>
          <w:sz w:val="24"/>
          <w:szCs w:val="24"/>
        </w:rPr>
        <w:t>2</w:t>
      </w:r>
      <w:r w:rsidR="004C271C" w:rsidRPr="004C271C">
        <w:rPr>
          <w:rFonts w:ascii="Charter" w:hAnsi="Charter"/>
          <w:sz w:val="24"/>
          <w:szCs w:val="24"/>
          <w:vertAlign w:val="superscript"/>
        </w:rPr>
        <w:t>ND</w:t>
      </w:r>
      <w:r w:rsidR="004C271C">
        <w:rPr>
          <w:rFonts w:ascii="Charter" w:hAnsi="Charter"/>
          <w:sz w:val="24"/>
          <w:szCs w:val="24"/>
        </w:rPr>
        <w:t xml:space="preserve"> </w:t>
      </w:r>
      <w:r w:rsidRPr="00445FAF">
        <w:rPr>
          <w:rFonts w:ascii="Charter" w:hAnsi="Charter"/>
          <w:sz w:val="24"/>
          <w:szCs w:val="24"/>
        </w:rPr>
        <w:t>day of</w:t>
      </w:r>
      <w:r w:rsidR="00931AEE" w:rsidRPr="00445FAF">
        <w:rPr>
          <w:rFonts w:ascii="Charter" w:hAnsi="Charter"/>
          <w:sz w:val="24"/>
          <w:szCs w:val="24"/>
        </w:rPr>
        <w:t xml:space="preserve"> </w:t>
      </w:r>
      <w:r w:rsidR="004C271C">
        <w:rPr>
          <w:rFonts w:ascii="Charter" w:hAnsi="Charter"/>
          <w:sz w:val="24"/>
          <w:szCs w:val="24"/>
        </w:rPr>
        <w:t>Februa</w:t>
      </w:r>
      <w:r w:rsidR="004C271C" w:rsidRPr="00445FAF">
        <w:rPr>
          <w:rFonts w:ascii="Charter" w:hAnsi="Charter"/>
          <w:sz w:val="24"/>
          <w:szCs w:val="24"/>
        </w:rPr>
        <w:t>ry</w:t>
      </w:r>
      <w:r w:rsidRPr="00445FAF">
        <w:rPr>
          <w:rFonts w:ascii="Charter" w:hAnsi="Charter"/>
          <w:sz w:val="24"/>
          <w:szCs w:val="24"/>
        </w:rPr>
        <w:t xml:space="preserve"> 202</w:t>
      </w:r>
      <w:r w:rsidR="00CB5A0B" w:rsidRPr="00445FAF">
        <w:rPr>
          <w:rFonts w:ascii="Charter" w:hAnsi="Charter"/>
          <w:sz w:val="24"/>
          <w:szCs w:val="24"/>
        </w:rPr>
        <w:t>1</w:t>
      </w:r>
      <w:r w:rsidRPr="00445FAF">
        <w:rPr>
          <w:rFonts w:ascii="Charter" w:hAnsi="Charter"/>
          <w:sz w:val="24"/>
          <w:szCs w:val="24"/>
        </w:rPr>
        <w:t>.</w:t>
      </w:r>
    </w:p>
    <w:p w14:paraId="2C3DCF82" w14:textId="77777777" w:rsidR="00E83789" w:rsidRPr="00445FAF" w:rsidRDefault="00E83789" w:rsidP="00E83789">
      <w:pPr>
        <w:ind w:left="1080" w:hanging="360"/>
        <w:rPr>
          <w:rFonts w:ascii="Charter" w:hAnsi="Charter"/>
          <w:b/>
          <w:bCs/>
          <w:smallCaps/>
          <w:sz w:val="24"/>
          <w:szCs w:val="24"/>
        </w:rPr>
      </w:pPr>
      <w:r w:rsidRPr="00445FAF">
        <w:rPr>
          <w:rFonts w:ascii="Charter" w:hAnsi="Charter"/>
          <w:sz w:val="24"/>
          <w:szCs w:val="24"/>
        </w:rPr>
        <w:tab/>
      </w:r>
      <w:r w:rsidRPr="00445FAF">
        <w:rPr>
          <w:rFonts w:ascii="Charter" w:hAnsi="Charter"/>
          <w:sz w:val="24"/>
          <w:szCs w:val="24"/>
        </w:rPr>
        <w:tab/>
      </w:r>
      <w:r w:rsidRPr="00445FAF">
        <w:rPr>
          <w:rFonts w:ascii="Charter" w:hAnsi="Charter"/>
          <w:sz w:val="24"/>
          <w:szCs w:val="24"/>
        </w:rPr>
        <w:tab/>
      </w:r>
      <w:r w:rsidRPr="00445FAF">
        <w:rPr>
          <w:rFonts w:ascii="Charter" w:hAnsi="Charter"/>
          <w:sz w:val="24"/>
          <w:szCs w:val="24"/>
        </w:rPr>
        <w:tab/>
      </w:r>
      <w:r w:rsidRPr="00445FAF">
        <w:rPr>
          <w:rFonts w:ascii="Charter" w:hAnsi="Charter"/>
          <w:sz w:val="24"/>
          <w:szCs w:val="24"/>
        </w:rPr>
        <w:tab/>
      </w:r>
      <w:r w:rsidRPr="00445FAF">
        <w:rPr>
          <w:rFonts w:ascii="Charter" w:hAnsi="Charter"/>
          <w:b/>
          <w:bCs/>
          <w:smallCaps/>
          <w:sz w:val="24"/>
          <w:szCs w:val="24"/>
        </w:rPr>
        <w:t>SMITH LAW, LLC</w:t>
      </w:r>
    </w:p>
    <w:tbl>
      <w:tblPr>
        <w:tblStyle w:val="TableGrid"/>
        <w:tblW w:w="0" w:type="auto"/>
        <w:tblInd w:w="3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
        <w:gridCol w:w="3888"/>
      </w:tblGrid>
      <w:tr w:rsidR="00E83789" w:rsidRPr="00445FAF" w14:paraId="72F473FC" w14:textId="77777777" w:rsidTr="00E83789">
        <w:tc>
          <w:tcPr>
            <w:tcW w:w="497" w:type="dxa"/>
          </w:tcPr>
          <w:p w14:paraId="5A4E66A5" w14:textId="77777777" w:rsidR="00E83789" w:rsidRPr="00445FAF" w:rsidRDefault="00E83789" w:rsidP="000E5F68">
            <w:pPr>
              <w:ind w:firstLine="0"/>
              <w:rPr>
                <w:rFonts w:ascii="Charter" w:hAnsi="Charter"/>
                <w:sz w:val="24"/>
                <w:szCs w:val="24"/>
              </w:rPr>
            </w:pPr>
            <w:r w:rsidRPr="00445FAF">
              <w:rPr>
                <w:rFonts w:ascii="Charter" w:hAnsi="Charter"/>
                <w:sz w:val="24"/>
                <w:szCs w:val="24"/>
              </w:rPr>
              <w:t>By</w:t>
            </w:r>
          </w:p>
        </w:tc>
        <w:tc>
          <w:tcPr>
            <w:tcW w:w="3888" w:type="dxa"/>
            <w:tcBorders>
              <w:bottom w:val="single" w:sz="4" w:space="0" w:color="auto"/>
            </w:tcBorders>
          </w:tcPr>
          <w:p w14:paraId="0CC4BF88" w14:textId="77777777" w:rsidR="00E83789" w:rsidRPr="00445FAF" w:rsidRDefault="00E83789" w:rsidP="000E5F68">
            <w:pPr>
              <w:ind w:firstLine="0"/>
              <w:rPr>
                <w:rFonts w:ascii="Charter" w:hAnsi="Charter"/>
                <w:i/>
                <w:iCs/>
                <w:sz w:val="24"/>
                <w:szCs w:val="24"/>
              </w:rPr>
            </w:pPr>
            <w:r w:rsidRPr="00445FAF">
              <w:rPr>
                <w:rFonts w:ascii="Charter" w:hAnsi="Charter"/>
                <w:i/>
                <w:iCs/>
                <w:sz w:val="24"/>
                <w:szCs w:val="24"/>
              </w:rPr>
              <w:t>/s/ Talitha Hazelton</w:t>
            </w:r>
          </w:p>
        </w:tc>
      </w:tr>
      <w:tr w:rsidR="00E83789" w:rsidRPr="00445FAF" w14:paraId="4E679836" w14:textId="77777777" w:rsidTr="00E83789">
        <w:trPr>
          <w:trHeight w:val="70"/>
        </w:trPr>
        <w:tc>
          <w:tcPr>
            <w:tcW w:w="497" w:type="dxa"/>
          </w:tcPr>
          <w:p w14:paraId="27127180" w14:textId="77777777" w:rsidR="00E83789" w:rsidRPr="00445FAF" w:rsidRDefault="00E83789" w:rsidP="000E5F68">
            <w:pPr>
              <w:ind w:firstLine="0"/>
              <w:rPr>
                <w:rFonts w:ascii="Charter" w:hAnsi="Charter"/>
                <w:sz w:val="24"/>
                <w:szCs w:val="24"/>
              </w:rPr>
            </w:pPr>
          </w:p>
        </w:tc>
        <w:tc>
          <w:tcPr>
            <w:tcW w:w="3888" w:type="dxa"/>
          </w:tcPr>
          <w:p w14:paraId="09990528" w14:textId="77777777" w:rsidR="00E83789" w:rsidRPr="00445FAF" w:rsidRDefault="00E83789" w:rsidP="000E5F68">
            <w:pPr>
              <w:ind w:firstLine="0"/>
              <w:rPr>
                <w:rFonts w:ascii="Charter" w:hAnsi="Charter"/>
                <w:sz w:val="24"/>
                <w:szCs w:val="24"/>
              </w:rPr>
            </w:pPr>
            <w:r w:rsidRPr="00445FAF">
              <w:rPr>
                <w:rFonts w:ascii="Charter" w:hAnsi="Charter"/>
                <w:sz w:val="24"/>
                <w:szCs w:val="24"/>
              </w:rPr>
              <w:t>Talitha Hazelton, WSBA No. 52460</w:t>
            </w:r>
          </w:p>
        </w:tc>
      </w:tr>
      <w:tr w:rsidR="00E83789" w:rsidRPr="00445FAF" w14:paraId="5D8B66F8" w14:textId="77777777" w:rsidTr="00E83789">
        <w:trPr>
          <w:trHeight w:val="70"/>
        </w:trPr>
        <w:tc>
          <w:tcPr>
            <w:tcW w:w="497" w:type="dxa"/>
          </w:tcPr>
          <w:p w14:paraId="774730CC" w14:textId="77777777" w:rsidR="00E83789" w:rsidRPr="00445FAF" w:rsidRDefault="00E83789" w:rsidP="000E5F68">
            <w:pPr>
              <w:ind w:firstLine="0"/>
              <w:rPr>
                <w:rFonts w:ascii="Charter" w:hAnsi="Charter"/>
                <w:sz w:val="24"/>
                <w:szCs w:val="24"/>
              </w:rPr>
            </w:pPr>
          </w:p>
        </w:tc>
        <w:tc>
          <w:tcPr>
            <w:tcW w:w="3888" w:type="dxa"/>
          </w:tcPr>
          <w:p w14:paraId="270E5B8A" w14:textId="77777777" w:rsidR="00E83789" w:rsidRPr="00445FAF" w:rsidRDefault="00E83789" w:rsidP="000E5F68">
            <w:pPr>
              <w:ind w:firstLine="0"/>
              <w:rPr>
                <w:rFonts w:ascii="Charter" w:hAnsi="Charter"/>
                <w:sz w:val="24"/>
                <w:szCs w:val="24"/>
              </w:rPr>
            </w:pPr>
            <w:r w:rsidRPr="00445FAF">
              <w:rPr>
                <w:rFonts w:ascii="Charter" w:hAnsi="Charter"/>
                <w:sz w:val="24"/>
                <w:szCs w:val="24"/>
              </w:rPr>
              <w:t>4301 NE 4</w:t>
            </w:r>
            <w:r w:rsidRPr="00445FAF">
              <w:rPr>
                <w:rFonts w:ascii="Charter" w:hAnsi="Charter"/>
                <w:sz w:val="24"/>
                <w:szCs w:val="24"/>
                <w:vertAlign w:val="superscript"/>
              </w:rPr>
              <w:t>th</w:t>
            </w:r>
            <w:r w:rsidRPr="00445FAF">
              <w:rPr>
                <w:rFonts w:ascii="Charter" w:hAnsi="Charter"/>
                <w:sz w:val="24"/>
                <w:szCs w:val="24"/>
              </w:rPr>
              <w:t xml:space="preserve"> St. </w:t>
            </w:r>
          </w:p>
          <w:p w14:paraId="0127F282" w14:textId="2A3AA666" w:rsidR="00E83789" w:rsidRPr="00445FAF" w:rsidRDefault="00E83789" w:rsidP="000E5F68">
            <w:pPr>
              <w:ind w:firstLine="0"/>
              <w:rPr>
                <w:rFonts w:ascii="Charter" w:hAnsi="Charter"/>
                <w:sz w:val="24"/>
                <w:szCs w:val="24"/>
              </w:rPr>
            </w:pPr>
            <w:r w:rsidRPr="00445FAF">
              <w:rPr>
                <w:rFonts w:ascii="Charter" w:hAnsi="Charter"/>
                <w:sz w:val="24"/>
                <w:szCs w:val="24"/>
              </w:rPr>
              <w:t>PO BOX 2767</w:t>
            </w:r>
          </w:p>
          <w:p w14:paraId="748F0405" w14:textId="18FB5ED7" w:rsidR="00E83789" w:rsidRPr="00445FAF" w:rsidRDefault="00E83789" w:rsidP="000E5F68">
            <w:pPr>
              <w:ind w:firstLine="0"/>
              <w:rPr>
                <w:rFonts w:ascii="Charter" w:hAnsi="Charter"/>
                <w:sz w:val="24"/>
                <w:szCs w:val="24"/>
              </w:rPr>
            </w:pPr>
            <w:r w:rsidRPr="00445FAF">
              <w:rPr>
                <w:rFonts w:ascii="Charter" w:hAnsi="Charter"/>
                <w:sz w:val="24"/>
                <w:szCs w:val="24"/>
              </w:rPr>
              <w:t>Renton, WA 98056</w:t>
            </w:r>
          </w:p>
          <w:p w14:paraId="2D9A26C2" w14:textId="77777777" w:rsidR="00E83789" w:rsidRPr="00445FAF" w:rsidRDefault="00CD2B7F" w:rsidP="000E5F68">
            <w:pPr>
              <w:ind w:firstLine="0"/>
              <w:rPr>
                <w:rFonts w:ascii="Charter" w:hAnsi="Charter"/>
                <w:sz w:val="24"/>
                <w:szCs w:val="24"/>
              </w:rPr>
            </w:pPr>
            <w:hyperlink r:id="rId14" w:history="1">
              <w:r w:rsidR="00E83789" w:rsidRPr="00445FAF">
                <w:rPr>
                  <w:rStyle w:val="Hyperlink"/>
                  <w:rFonts w:ascii="Charter" w:hAnsi="Charter"/>
                  <w:sz w:val="24"/>
                  <w:szCs w:val="24"/>
                </w:rPr>
                <w:t>talitha@thesmithlaw.com</w:t>
              </w:r>
            </w:hyperlink>
          </w:p>
          <w:p w14:paraId="0DCDB7EC" w14:textId="77777777" w:rsidR="00E83789" w:rsidRPr="00445FAF" w:rsidRDefault="00E83789" w:rsidP="000E5F68">
            <w:pPr>
              <w:ind w:firstLine="0"/>
              <w:rPr>
                <w:rFonts w:ascii="Charter" w:hAnsi="Charter"/>
                <w:sz w:val="24"/>
                <w:szCs w:val="24"/>
              </w:rPr>
            </w:pPr>
            <w:r w:rsidRPr="00445FAF">
              <w:rPr>
                <w:rFonts w:ascii="Charter" w:hAnsi="Charter"/>
                <w:sz w:val="24"/>
                <w:szCs w:val="24"/>
              </w:rPr>
              <w:t>Tel: (206) 715-4248</w:t>
            </w:r>
          </w:p>
          <w:p w14:paraId="28158B3D" w14:textId="5A889EE9" w:rsidR="00E83789" w:rsidRPr="00445FAF" w:rsidRDefault="00E83789" w:rsidP="000E5F68">
            <w:pPr>
              <w:ind w:firstLine="0"/>
              <w:rPr>
                <w:rFonts w:ascii="Charter" w:hAnsi="Charter"/>
                <w:sz w:val="24"/>
                <w:szCs w:val="24"/>
              </w:rPr>
            </w:pPr>
            <w:r w:rsidRPr="00445FAF">
              <w:rPr>
                <w:rFonts w:ascii="Charter" w:hAnsi="Charter"/>
                <w:sz w:val="24"/>
                <w:szCs w:val="24"/>
              </w:rPr>
              <w:t>Fax: (250) 900-2664</w:t>
            </w:r>
          </w:p>
        </w:tc>
      </w:tr>
      <w:tr w:rsidR="00E83789" w:rsidRPr="00445FAF" w14:paraId="60EA90FC" w14:textId="77777777" w:rsidTr="00E83789">
        <w:trPr>
          <w:trHeight w:val="70"/>
        </w:trPr>
        <w:tc>
          <w:tcPr>
            <w:tcW w:w="497" w:type="dxa"/>
          </w:tcPr>
          <w:p w14:paraId="47FA20B2" w14:textId="77777777" w:rsidR="00E83789" w:rsidRPr="00445FAF" w:rsidRDefault="00E83789" w:rsidP="000E5F68">
            <w:pPr>
              <w:ind w:firstLine="0"/>
              <w:rPr>
                <w:rFonts w:ascii="Charter" w:hAnsi="Charter"/>
                <w:sz w:val="24"/>
                <w:szCs w:val="24"/>
              </w:rPr>
            </w:pPr>
          </w:p>
        </w:tc>
        <w:tc>
          <w:tcPr>
            <w:tcW w:w="3888" w:type="dxa"/>
          </w:tcPr>
          <w:p w14:paraId="61C51604" w14:textId="77777777" w:rsidR="00E83789" w:rsidRPr="00445FAF" w:rsidRDefault="00E83789" w:rsidP="000E5F68">
            <w:pPr>
              <w:ind w:firstLine="0"/>
              <w:rPr>
                <w:rFonts w:ascii="Charter" w:hAnsi="Charter"/>
                <w:i/>
                <w:iCs/>
                <w:sz w:val="24"/>
                <w:szCs w:val="24"/>
              </w:rPr>
            </w:pPr>
            <w:r w:rsidRPr="00445FAF">
              <w:rPr>
                <w:rFonts w:ascii="Charter" w:hAnsi="Charter"/>
                <w:i/>
                <w:iCs/>
                <w:sz w:val="24"/>
                <w:szCs w:val="24"/>
              </w:rPr>
              <w:t>Attorney for Defendant</w:t>
            </w:r>
          </w:p>
        </w:tc>
      </w:tr>
    </w:tbl>
    <w:p w14:paraId="384A740C" w14:textId="3166EDCF" w:rsidR="00FE04B8" w:rsidRDefault="00FE04B8" w:rsidP="00983009">
      <w:pPr>
        <w:ind w:firstLine="0"/>
        <w:jc w:val="both"/>
        <w:rPr>
          <w:rFonts w:ascii="Charter" w:hAnsi="Charter"/>
          <w:sz w:val="24"/>
          <w:szCs w:val="24"/>
        </w:rPr>
      </w:pPr>
    </w:p>
    <w:p w14:paraId="4C95DB16" w14:textId="01F1DA0A" w:rsidR="00983009" w:rsidRDefault="00983009" w:rsidP="00983009">
      <w:pPr>
        <w:ind w:firstLine="0"/>
        <w:jc w:val="both"/>
        <w:rPr>
          <w:rFonts w:ascii="Charter" w:hAnsi="Charter"/>
          <w:sz w:val="24"/>
          <w:szCs w:val="24"/>
        </w:rPr>
      </w:pPr>
    </w:p>
    <w:p w14:paraId="3646541A" w14:textId="43153234" w:rsidR="00053536" w:rsidRDefault="00053536" w:rsidP="00983009">
      <w:pPr>
        <w:ind w:firstLine="0"/>
        <w:jc w:val="both"/>
        <w:rPr>
          <w:rFonts w:ascii="Charter" w:hAnsi="Charter"/>
          <w:sz w:val="24"/>
          <w:szCs w:val="24"/>
        </w:rPr>
      </w:pPr>
    </w:p>
    <w:p w14:paraId="1F33CDAF" w14:textId="288C8CAB" w:rsidR="00053536" w:rsidRDefault="00053536" w:rsidP="00983009">
      <w:pPr>
        <w:ind w:firstLine="0"/>
        <w:jc w:val="both"/>
        <w:rPr>
          <w:rFonts w:ascii="Charter" w:hAnsi="Charter"/>
          <w:sz w:val="24"/>
          <w:szCs w:val="24"/>
        </w:rPr>
      </w:pPr>
    </w:p>
    <w:p w14:paraId="32FD403B" w14:textId="3895F58B" w:rsidR="00081EFD" w:rsidRDefault="00081EFD" w:rsidP="00983009">
      <w:pPr>
        <w:ind w:firstLine="0"/>
        <w:jc w:val="both"/>
        <w:rPr>
          <w:rFonts w:ascii="Charter" w:hAnsi="Charter"/>
          <w:sz w:val="24"/>
          <w:szCs w:val="24"/>
        </w:rPr>
      </w:pPr>
    </w:p>
    <w:p w14:paraId="6BF9B4BA" w14:textId="65973E9A" w:rsidR="00081EFD" w:rsidRDefault="00081EFD" w:rsidP="00983009">
      <w:pPr>
        <w:ind w:firstLine="0"/>
        <w:jc w:val="both"/>
        <w:rPr>
          <w:rFonts w:ascii="Charter" w:hAnsi="Charter"/>
          <w:sz w:val="24"/>
          <w:szCs w:val="24"/>
        </w:rPr>
      </w:pPr>
    </w:p>
    <w:p w14:paraId="76497DAC" w14:textId="7C67269E" w:rsidR="00081EFD" w:rsidRDefault="00081EFD" w:rsidP="00983009">
      <w:pPr>
        <w:ind w:firstLine="0"/>
        <w:jc w:val="both"/>
        <w:rPr>
          <w:rFonts w:ascii="Charter" w:hAnsi="Charter"/>
          <w:sz w:val="24"/>
          <w:szCs w:val="24"/>
        </w:rPr>
      </w:pPr>
    </w:p>
    <w:p w14:paraId="1C417469" w14:textId="77777777" w:rsidR="00081EFD" w:rsidRDefault="00081EFD" w:rsidP="00983009">
      <w:pPr>
        <w:ind w:firstLine="0"/>
        <w:jc w:val="both"/>
        <w:rPr>
          <w:rFonts w:ascii="Charter" w:hAnsi="Charter"/>
          <w:sz w:val="24"/>
          <w:szCs w:val="24"/>
        </w:rPr>
      </w:pPr>
    </w:p>
    <w:p w14:paraId="644EBFD1" w14:textId="77777777" w:rsidR="00081EFD" w:rsidRDefault="00081EFD" w:rsidP="00FE04B8">
      <w:pPr>
        <w:spacing w:line="240" w:lineRule="auto"/>
        <w:ind w:right="1530" w:firstLine="0"/>
        <w:jc w:val="center"/>
        <w:rPr>
          <w:rFonts w:ascii="Charter" w:hAnsi="Charter" w:cstheme="minorHAnsi"/>
          <w:b/>
          <w:bCs/>
          <w:sz w:val="24"/>
          <w:szCs w:val="24"/>
        </w:rPr>
      </w:pPr>
    </w:p>
    <w:p w14:paraId="6F185F3E" w14:textId="77777777" w:rsidR="00081EFD" w:rsidRDefault="00081EFD" w:rsidP="00FE04B8">
      <w:pPr>
        <w:spacing w:line="240" w:lineRule="auto"/>
        <w:ind w:right="1530" w:firstLine="0"/>
        <w:jc w:val="center"/>
        <w:rPr>
          <w:rFonts w:ascii="Charter" w:hAnsi="Charter" w:cstheme="minorHAnsi"/>
          <w:b/>
          <w:bCs/>
          <w:sz w:val="24"/>
          <w:szCs w:val="24"/>
        </w:rPr>
      </w:pPr>
    </w:p>
    <w:p w14:paraId="5880A164" w14:textId="77777777" w:rsidR="00081EFD" w:rsidRDefault="00081EFD" w:rsidP="00FE04B8">
      <w:pPr>
        <w:spacing w:line="240" w:lineRule="auto"/>
        <w:ind w:right="1530" w:firstLine="0"/>
        <w:jc w:val="center"/>
        <w:rPr>
          <w:rFonts w:ascii="Charter" w:hAnsi="Charter" w:cstheme="minorHAnsi"/>
          <w:b/>
          <w:bCs/>
          <w:sz w:val="24"/>
          <w:szCs w:val="24"/>
        </w:rPr>
      </w:pPr>
    </w:p>
    <w:p w14:paraId="2A0E7BF0" w14:textId="77777777" w:rsidR="00081EFD" w:rsidRDefault="00081EFD" w:rsidP="00FE04B8">
      <w:pPr>
        <w:spacing w:line="240" w:lineRule="auto"/>
        <w:ind w:right="1530" w:firstLine="0"/>
        <w:jc w:val="center"/>
        <w:rPr>
          <w:rFonts w:ascii="Charter" w:hAnsi="Charter" w:cstheme="minorHAnsi"/>
          <w:b/>
          <w:bCs/>
          <w:sz w:val="24"/>
          <w:szCs w:val="24"/>
        </w:rPr>
      </w:pPr>
    </w:p>
    <w:p w14:paraId="7FE8444F" w14:textId="08B58281" w:rsidR="00FE04B8" w:rsidRPr="00983009" w:rsidRDefault="00081EFD" w:rsidP="00FE04B8">
      <w:pPr>
        <w:spacing w:line="240" w:lineRule="auto"/>
        <w:ind w:right="1530" w:firstLine="0"/>
        <w:jc w:val="center"/>
        <w:rPr>
          <w:rFonts w:ascii="Charter" w:hAnsi="Charter" w:cstheme="minorHAnsi"/>
          <w:b/>
          <w:bCs/>
          <w:sz w:val="24"/>
          <w:szCs w:val="24"/>
        </w:rPr>
      </w:pPr>
      <w:r>
        <w:rPr>
          <w:rFonts w:ascii="Charter" w:hAnsi="Charter" w:cstheme="minorHAnsi"/>
          <w:b/>
          <w:bCs/>
          <w:sz w:val="24"/>
          <w:szCs w:val="24"/>
        </w:rPr>
        <w:t>A</w:t>
      </w:r>
      <w:r w:rsidR="00FE04B8" w:rsidRPr="00983009">
        <w:rPr>
          <w:rFonts w:ascii="Charter" w:hAnsi="Charter" w:cstheme="minorHAnsi"/>
          <w:b/>
          <w:bCs/>
          <w:sz w:val="24"/>
          <w:szCs w:val="24"/>
        </w:rPr>
        <w:t xml:space="preserve">PPENDIX A </w:t>
      </w:r>
    </w:p>
    <w:sectPr w:rsidR="00FE04B8" w:rsidRPr="00983009" w:rsidSect="00F05C29">
      <w:headerReference w:type="default" r:id="rId15"/>
      <w:footerReference w:type="default" r:id="rId16"/>
      <w:pgSz w:w="12240" w:h="15840" w:code="1"/>
      <w:pgMar w:top="1440" w:right="1800" w:bottom="1440" w:left="171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2D126" w14:textId="77777777" w:rsidR="00CD2B7F" w:rsidRDefault="00CD2B7F">
      <w:r>
        <w:separator/>
      </w:r>
    </w:p>
    <w:p w14:paraId="414E72F3" w14:textId="77777777" w:rsidR="00CD2B7F" w:rsidRDefault="00CD2B7F"/>
  </w:endnote>
  <w:endnote w:type="continuationSeparator" w:id="0">
    <w:p w14:paraId="0AB6A7BD" w14:textId="77777777" w:rsidR="00CD2B7F" w:rsidRDefault="00CD2B7F">
      <w:r>
        <w:continuationSeparator/>
      </w:r>
    </w:p>
    <w:p w14:paraId="1C4DAF7D" w14:textId="77777777" w:rsidR="00CD2B7F" w:rsidRDefault="00CD2B7F"/>
  </w:endnote>
  <w:endnote w:type="continuationNotice" w:id="1">
    <w:p w14:paraId="48AB5EC2" w14:textId="77777777" w:rsidR="00CD2B7F" w:rsidRDefault="00CD2B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harter">
    <w:panose1 w:val="02000503060000020004"/>
    <w:charset w:val="00"/>
    <w:family w:val="moder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Schoolbook">
    <w:altName w:val="Century Schoolbook"/>
    <w:panose1 w:val="02040604050505020304"/>
    <w:charset w:val="00"/>
    <w:family w:val="roman"/>
    <w:pitch w:val="variable"/>
    <w:sig w:usb0="00000287" w:usb1="00000000" w:usb2="00000000" w:usb3="00000000" w:csb0="000000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harter Roman">
    <w:altName w:val="Cambria"/>
    <w:charset w:val="00"/>
    <w:family w:val="roman"/>
    <w:pitch w:val="variable"/>
    <w:sig w:usb0="800000AF" w:usb1="1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6851B" w14:textId="4FFAE766" w:rsidR="009F0E74" w:rsidRDefault="00F05C29" w:rsidP="00E83789">
    <w:pPr>
      <w:pStyle w:val="Footer"/>
      <w:spacing w:before="120" w:after="240"/>
    </w:pPr>
    <w:r>
      <w:rPr>
        <w:noProof/>
      </w:rPr>
      <mc:AlternateContent>
        <mc:Choice Requires="wps">
          <w:drawing>
            <wp:anchor distT="45720" distB="45720" distL="114300" distR="114300" simplePos="0" relativeHeight="251658242" behindDoc="0" locked="0" layoutInCell="1" allowOverlap="1" wp14:anchorId="4630DD42" wp14:editId="12678074">
              <wp:simplePos x="0" y="0"/>
              <wp:positionH relativeFrom="margin">
                <wp:align>right</wp:align>
              </wp:positionH>
              <wp:positionV relativeFrom="paragraph">
                <wp:posOffset>5715</wp:posOffset>
              </wp:positionV>
              <wp:extent cx="2360930" cy="10953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95375"/>
                      </a:xfrm>
                      <a:prstGeom prst="rect">
                        <a:avLst/>
                      </a:prstGeom>
                      <a:solidFill>
                        <a:srgbClr val="FFFFFF"/>
                      </a:solidFill>
                      <a:ln w="9525">
                        <a:noFill/>
                        <a:miter lim="800000"/>
                        <a:headEnd/>
                        <a:tailEnd/>
                      </a:ln>
                    </wps:spPr>
                    <wps:txbx>
                      <w:txbxContent>
                        <w:p w14:paraId="71820BB4" w14:textId="77777777" w:rsidR="00F05C29" w:rsidRPr="00F05C29" w:rsidRDefault="00F05C29" w:rsidP="00F05C29">
                          <w:pPr>
                            <w:spacing w:line="240" w:lineRule="auto"/>
                            <w:ind w:firstLine="0"/>
                            <w:jc w:val="right"/>
                            <w:rPr>
                              <w:rFonts w:ascii="Cambria" w:hAnsi="Cambria"/>
                              <w:b/>
                              <w:bCs/>
                            </w:rPr>
                          </w:pPr>
                          <w:r w:rsidRPr="00F05C29">
                            <w:rPr>
                              <w:rFonts w:ascii="Cambria" w:hAnsi="Cambria"/>
                              <w:b/>
                              <w:bCs/>
                            </w:rPr>
                            <w:t xml:space="preserve">SMITH LAW, LLC </w:t>
                          </w:r>
                        </w:p>
                        <w:p w14:paraId="0714CD67" w14:textId="77777777" w:rsidR="00F05C29" w:rsidRDefault="00F05C29" w:rsidP="00F05C29">
                          <w:pPr>
                            <w:spacing w:line="240" w:lineRule="auto"/>
                            <w:ind w:firstLine="0"/>
                            <w:jc w:val="right"/>
                          </w:pPr>
                          <w:r>
                            <w:t>4301 NE 4th St.</w:t>
                          </w:r>
                        </w:p>
                        <w:p w14:paraId="358E47E8" w14:textId="77777777" w:rsidR="00E83789" w:rsidRDefault="00F05C29" w:rsidP="00F05C29">
                          <w:pPr>
                            <w:spacing w:line="240" w:lineRule="auto"/>
                            <w:ind w:firstLine="0"/>
                            <w:jc w:val="right"/>
                          </w:pPr>
                          <w:r>
                            <w:t xml:space="preserve"> PO Box 2767 </w:t>
                          </w:r>
                        </w:p>
                        <w:p w14:paraId="2507F18D" w14:textId="0DE56CDE" w:rsidR="00F05C29" w:rsidRDefault="00F05C29" w:rsidP="00F05C29">
                          <w:pPr>
                            <w:spacing w:line="240" w:lineRule="auto"/>
                            <w:ind w:firstLine="0"/>
                            <w:jc w:val="right"/>
                          </w:pPr>
                          <w:r>
                            <w:t>Renton, WA 9805</w:t>
                          </w:r>
                          <w:r w:rsidR="00E83789">
                            <w:t>6</w:t>
                          </w:r>
                        </w:p>
                        <w:p w14:paraId="6686041D" w14:textId="7774C29E" w:rsidR="00F05C29" w:rsidRDefault="00CD2B7F" w:rsidP="00F05C29">
                          <w:pPr>
                            <w:spacing w:line="240" w:lineRule="auto"/>
                            <w:ind w:firstLine="0"/>
                            <w:jc w:val="right"/>
                          </w:pPr>
                          <w:hyperlink r:id="rId1" w:history="1">
                            <w:r w:rsidR="00BA4030">
                              <w:rPr>
                                <w:rStyle w:val="Hyperlink"/>
                              </w:rPr>
                              <w:t>www.thesmithlaw.com</w:t>
                            </w:r>
                          </w:hyperlink>
                        </w:p>
                        <w:p w14:paraId="44D6448A" w14:textId="41C1E230" w:rsidR="00F05C29" w:rsidRDefault="00F05C29" w:rsidP="00F05C29">
                          <w:pPr>
                            <w:spacing w:line="240" w:lineRule="auto"/>
                            <w:ind w:firstLine="0"/>
                            <w:jc w:val="right"/>
                          </w:pPr>
                          <w:r>
                            <w:t>Tel: (206) 715-4248</w:t>
                          </w:r>
                        </w:p>
                        <w:p w14:paraId="460F2A85" w14:textId="0B8CDAAA" w:rsidR="00F05C29" w:rsidRDefault="00F05C29" w:rsidP="00F05C29">
                          <w:pPr>
                            <w:spacing w:line="240" w:lineRule="auto"/>
                            <w:ind w:firstLine="0"/>
                            <w:jc w:val="right"/>
                          </w:pPr>
                          <w:r>
                            <w:t>Fax: (2</w:t>
                          </w:r>
                          <w:r w:rsidR="00E83789">
                            <w:t>50</w:t>
                          </w:r>
                          <w:r>
                            <w:t>) 900-2664</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4630DD42" id="_x0000_t202" coordsize="21600,21600" o:spt="202" path="m,l,21600r21600,l21600,xe">
              <v:stroke joinstyle="miter"/>
              <v:path gradientshapeok="t" o:connecttype="rect"/>
            </v:shapetype>
            <v:shape id="Text Box 2" o:spid="_x0000_s1027" type="#_x0000_t202" style="position:absolute;margin-left:134.7pt;margin-top:.45pt;width:185.9pt;height:86.25pt;z-index:251658242;visibility:visible;mso-wrap-style:square;mso-width-percent:400;mso-height-percent:0;mso-wrap-distance-left:9pt;mso-wrap-distance-top:3.6pt;mso-wrap-distance-right:9pt;mso-wrap-distance-bottom:3.6pt;mso-position-horizontal:right;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" stroked="f">
              <v:textbox>
                <w:txbxContent>
                  <w:p w14:paraId="71820BB4" w14:textId="77777777" w:rsidR="00F05C29" w:rsidRPr="00F05C29" w:rsidRDefault="00F05C29" w:rsidP="00F05C29">
                    <w:pPr>
                      <w:spacing w:line="240" w:lineRule="auto"/>
                      <w:ind w:firstLine="0"/>
                      <w:jc w:val="right"/>
                      <w:rPr>
                        <w:rFonts w:ascii="Cambria" w:hAnsi="Cambria"/>
                        <w:b/>
                        <w:bCs/>
                      </w:rPr>
                    </w:pPr>
                    <w:r w:rsidRPr="00F05C29">
                      <w:rPr>
                        <w:rFonts w:ascii="Cambria" w:hAnsi="Cambria"/>
                        <w:b/>
                        <w:bCs/>
                      </w:rPr>
                      <w:t xml:space="preserve">SMITH LAW, LLC </w:t>
                    </w:r>
                  </w:p>
                  <w:p w14:paraId="0714CD67" w14:textId="77777777" w:rsidR="00F05C29" w:rsidRDefault="00F05C29" w:rsidP="00F05C29">
                    <w:pPr>
                      <w:spacing w:line="240" w:lineRule="auto"/>
                      <w:ind w:firstLine="0"/>
                      <w:jc w:val="right"/>
                    </w:pPr>
                    <w:r>
                      <w:t>4301 NE 4th St.</w:t>
                    </w:r>
                  </w:p>
                  <w:p w14:paraId="358E47E8" w14:textId="77777777" w:rsidR="00E83789" w:rsidRDefault="00F05C29" w:rsidP="00F05C29">
                    <w:pPr>
                      <w:spacing w:line="240" w:lineRule="auto"/>
                      <w:ind w:firstLine="0"/>
                      <w:jc w:val="right"/>
                    </w:pPr>
                    <w:r>
                      <w:t xml:space="preserve"> PO Box 2767 </w:t>
                    </w:r>
                  </w:p>
                  <w:p w14:paraId="2507F18D" w14:textId="0DE56CDE" w:rsidR="00F05C29" w:rsidRDefault="00F05C29" w:rsidP="00F05C29">
                    <w:pPr>
                      <w:spacing w:line="240" w:lineRule="auto"/>
                      <w:ind w:firstLine="0"/>
                      <w:jc w:val="right"/>
                    </w:pPr>
                    <w:r>
                      <w:t>Renton, WA 9805</w:t>
                    </w:r>
                    <w:r w:rsidR="00E83789">
                      <w:t>6</w:t>
                    </w:r>
                  </w:p>
                  <w:p w14:paraId="6686041D" w14:textId="7774C29E" w:rsidR="00F05C29" w:rsidRDefault="00B43245" w:rsidP="00F05C29">
                    <w:pPr>
                      <w:spacing w:line="240" w:lineRule="auto"/>
                      <w:ind w:firstLine="0"/>
                      <w:jc w:val="right"/>
                    </w:pPr>
                    <w:hyperlink r:id="rId2" w:history="1">
                      <w:r w:rsidR="00BA4030">
                        <w:rPr>
                          <w:rStyle w:val="Hyperlink"/>
                        </w:rPr>
                        <w:t>www.thesmithlaw.com</w:t>
                      </w:r>
                    </w:hyperlink>
                  </w:p>
                  <w:p w14:paraId="44D6448A" w14:textId="41C1E230" w:rsidR="00F05C29" w:rsidRDefault="00F05C29" w:rsidP="00F05C29">
                    <w:pPr>
                      <w:spacing w:line="240" w:lineRule="auto"/>
                      <w:ind w:firstLine="0"/>
                      <w:jc w:val="right"/>
                    </w:pPr>
                    <w:r>
                      <w:t>Tel: (206) 715-4248</w:t>
                    </w:r>
                  </w:p>
                  <w:p w14:paraId="460F2A85" w14:textId="0B8CDAAA" w:rsidR="00F05C29" w:rsidRDefault="00F05C29" w:rsidP="00F05C29">
                    <w:pPr>
                      <w:spacing w:line="240" w:lineRule="auto"/>
                      <w:ind w:firstLine="0"/>
                      <w:jc w:val="right"/>
                    </w:pPr>
                    <w:r>
                      <w:t>Fax: (2</w:t>
                    </w:r>
                    <w:r w:rsidR="00E83789">
                      <w:t>50</w:t>
                    </w:r>
                    <w:r>
                      <w:t>) 900-2664</w:t>
                    </w:r>
                  </w:p>
                </w:txbxContent>
              </v:textbox>
              <w10:wrap type="square" anchorx="margin"/>
            </v:shape>
          </w:pict>
        </mc:Fallback>
      </mc:AlternateContent>
    </w:r>
    <w:sdt>
      <w:sdtPr>
        <w:alias w:val="Enter pleading title:"/>
        <w:tag w:val=""/>
        <w:id w:val="654189559"/>
        <w:placeholder>
          <w:docPart w:val="983A293DE67C4CA6862F0029128F7334"/>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F65109">
          <w:t>REPLY TO STATE’S RESPONSE TO DEFENDANT’S MOTION FOR RELIEF FROM JUDGMENT PURSUANT TO CRR 7.8 AND STATE’S MOTION FOR STAY OF PROCEEDINGS</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D2ABF" w14:textId="77777777" w:rsidR="00CD2B7F" w:rsidRDefault="00CD2B7F">
      <w:r>
        <w:separator/>
      </w:r>
    </w:p>
    <w:p w14:paraId="35BDDDC5" w14:textId="77777777" w:rsidR="00CD2B7F" w:rsidRDefault="00CD2B7F"/>
  </w:footnote>
  <w:footnote w:type="continuationSeparator" w:id="0">
    <w:p w14:paraId="02190F03" w14:textId="77777777" w:rsidR="00CD2B7F" w:rsidRDefault="00CD2B7F">
      <w:r>
        <w:continuationSeparator/>
      </w:r>
    </w:p>
    <w:p w14:paraId="1661A136" w14:textId="77777777" w:rsidR="00CD2B7F" w:rsidRDefault="00CD2B7F"/>
  </w:footnote>
  <w:footnote w:type="continuationNotice" w:id="1">
    <w:p w14:paraId="4F137492" w14:textId="77777777" w:rsidR="00CD2B7F" w:rsidRDefault="00CD2B7F">
      <w:pPr>
        <w:spacing w:line="240" w:lineRule="auto"/>
      </w:pPr>
    </w:p>
  </w:footnote>
  <w:footnote w:id="2">
    <w:p w14:paraId="1846848B" w14:textId="052B25C9" w:rsidR="00CB65AA" w:rsidRPr="00CB65AA" w:rsidRDefault="00CB65AA" w:rsidP="00081EFD">
      <w:pPr>
        <w:pStyle w:val="FootnoteText"/>
        <w:ind w:firstLine="0"/>
        <w:jc w:val="both"/>
      </w:pPr>
      <w:r w:rsidRPr="00CB65AA">
        <w:rPr>
          <w:rStyle w:val="FootnoteReference"/>
        </w:rPr>
        <w:footnoteRef/>
      </w:r>
      <w:r w:rsidRPr="00CB65AA">
        <w:t xml:space="preserve"> </w:t>
      </w:r>
      <w:r w:rsidRPr="0087261F">
        <w:rPr>
          <w:rFonts w:ascii="Charter" w:hAnsi="Charter" w:cs="Times New Roman"/>
          <w:sz w:val="24"/>
          <w:szCs w:val="24"/>
        </w:rPr>
        <w:t>The changes were aimed at rehabilitating young defendants, reducing recidivism, and reducing racial disparities in sentencing. Sara Jean Green, “‘</w:t>
      </w:r>
      <w:r w:rsidRPr="0087261F">
        <w:rPr>
          <w:rFonts w:ascii="Charter" w:hAnsi="Charter" w:cs="Times New Roman"/>
          <w:i/>
          <w:iCs/>
          <w:sz w:val="24"/>
          <w:szCs w:val="24"/>
        </w:rPr>
        <w:t>Seismic shift’: New Law Will Reduce Number of Juveniles Sent to Adult Court in Washington State</w:t>
      </w:r>
      <w:r w:rsidRPr="0087261F">
        <w:rPr>
          <w:rFonts w:ascii="Charter" w:hAnsi="Charter" w:cs="Times New Roman"/>
          <w:sz w:val="24"/>
          <w:szCs w:val="24"/>
        </w:rPr>
        <w:t>,” Seattle Times, April 2, 2018.</w:t>
      </w:r>
    </w:p>
  </w:footnote>
  <w:footnote w:id="3">
    <w:p w14:paraId="7783E0A6" w14:textId="28A4BCDB" w:rsidR="00CB65AA" w:rsidRPr="0087261F" w:rsidRDefault="00CB65AA" w:rsidP="00081EFD">
      <w:pPr>
        <w:pStyle w:val="FootnoteText"/>
        <w:ind w:firstLine="0"/>
        <w:jc w:val="both"/>
        <w:rPr>
          <w:rFonts w:ascii="Charter" w:hAnsi="Charter"/>
          <w:sz w:val="24"/>
          <w:szCs w:val="24"/>
        </w:rPr>
      </w:pPr>
      <w:r w:rsidRPr="0087261F">
        <w:rPr>
          <w:rStyle w:val="FootnoteReference"/>
          <w:rFonts w:ascii="Charter" w:hAnsi="Charter"/>
          <w:sz w:val="24"/>
          <w:szCs w:val="24"/>
        </w:rPr>
        <w:footnoteRef/>
      </w:r>
      <w:r w:rsidRPr="0087261F">
        <w:rPr>
          <w:rFonts w:ascii="Charter" w:hAnsi="Charter"/>
          <w:sz w:val="24"/>
          <w:szCs w:val="24"/>
        </w:rPr>
        <w:t xml:space="preserve"> </w:t>
      </w:r>
      <w:r w:rsidRPr="0087261F">
        <w:rPr>
          <w:rFonts w:ascii="Charter" w:hAnsi="Charter" w:cs="Times New Roman"/>
          <w:sz w:val="24"/>
          <w:szCs w:val="24"/>
        </w:rPr>
        <w:t xml:space="preserve">According to this principle, the court denied relief because the petitioner had previously filed an unsuccessful petition for personal restraint under CrR 7.8(b)(2) on similar grounds as those alleged in the CrR 7.8(b)(5) petition, violating RCW 10.73.140’s ban considering multiple personal restraint positions. </w:t>
      </w:r>
      <w:r w:rsidRPr="0087261F">
        <w:rPr>
          <w:rFonts w:ascii="Charter" w:hAnsi="Charter" w:cs="Times New Roman"/>
          <w:i/>
          <w:iCs/>
          <w:sz w:val="24"/>
          <w:szCs w:val="24"/>
        </w:rPr>
        <w:t>Id</w:t>
      </w:r>
      <w:r w:rsidRPr="0087261F">
        <w:rPr>
          <w:rFonts w:ascii="Charter" w:hAnsi="Charter" w:cs="Times New Roman"/>
          <w:sz w:val="24"/>
          <w:szCs w:val="24"/>
        </w:rPr>
        <w:t>.</w:t>
      </w:r>
    </w:p>
  </w:footnote>
  <w:footnote w:id="4">
    <w:p w14:paraId="49A5861E" w14:textId="4B85BC99" w:rsidR="00822B66" w:rsidRPr="00081EFD" w:rsidRDefault="00822B66" w:rsidP="00822B66">
      <w:pPr>
        <w:pStyle w:val="FootnoteText"/>
        <w:ind w:firstLine="0"/>
        <w:rPr>
          <w:rFonts w:ascii="Charter" w:hAnsi="Charter"/>
        </w:rPr>
      </w:pPr>
      <w:r w:rsidRPr="00081EFD">
        <w:rPr>
          <w:rStyle w:val="FootnoteReference"/>
          <w:rFonts w:ascii="Charter" w:hAnsi="Charter"/>
        </w:rPr>
        <w:footnoteRef/>
      </w:r>
      <w:r w:rsidRPr="00081EFD">
        <w:rPr>
          <w:rFonts w:ascii="Charter" w:hAnsi="Charter"/>
        </w:rPr>
        <w:t xml:space="preserve"> </w:t>
      </w:r>
      <w:r w:rsidR="002B001F" w:rsidRPr="00081EFD">
        <w:rPr>
          <w:rFonts w:ascii="Charter" w:hAnsi="Charter"/>
        </w:rPr>
        <w:t>Castellon does not concede the State’s argument (</w:t>
      </w:r>
      <w:r w:rsidR="0082402A" w:rsidRPr="00081EFD">
        <w:rPr>
          <w:rFonts w:ascii="Charter" w:hAnsi="Charter"/>
        </w:rPr>
        <w:t>i.e.,</w:t>
      </w:r>
      <w:r w:rsidR="002B001F" w:rsidRPr="00081EFD">
        <w:rPr>
          <w:rFonts w:ascii="Charter" w:hAnsi="Charter"/>
        </w:rPr>
        <w:t xml:space="preserve"> expense of experts justifies delay), it is simply inapplicable</w:t>
      </w:r>
      <w:r w:rsidR="00B17AB9" w:rsidRPr="00081EFD">
        <w:rPr>
          <w:rFonts w:ascii="Charter" w:hAnsi="Charter"/>
        </w:rPr>
        <w:t xml:space="preserve"> here.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4B9E3" w14:textId="77777777" w:rsidR="009F0E74" w:rsidRDefault="00FE2E3F" w:rsidP="00F05C29">
    <w:pPr>
      <w:ind w:firstLine="0"/>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1D52C8BF" wp14:editId="0BEBFF10">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73220A47"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">
              <v:line id="LeftBorder1" o:spid="_x0000_s1027" style="position:absolute;visibility:visible;mso-wrap-style:square" from="517,0" to="517,100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line id="LeftBorder2" o:spid="_x0000_s1028" style="position:absolute;visibility:visible;mso-wrap-style:square" from="0,0" to="0,100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line id="RightBorder" o:spid="_x0000_s1029" style="position:absolute;visibility:visible;mso-wrap-style:square" from="60298,0" to="60298,100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8241" behindDoc="1" locked="1" layoutInCell="1" allowOverlap="1" wp14:anchorId="77A4BAB6" wp14:editId="059BD746">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9E5559" w14:textId="77777777" w:rsidR="009F0E74" w:rsidRDefault="00FE2E3F">
                          <w:pPr>
                            <w:pStyle w:val="LineNumbers"/>
                          </w:pPr>
                          <w:r>
                            <w:t>1</w:t>
                          </w:r>
                        </w:p>
                        <w:p w14:paraId="433D04A8" w14:textId="77777777" w:rsidR="009F0E74" w:rsidRDefault="00FE2E3F">
                          <w:pPr>
                            <w:pStyle w:val="LineNumbers"/>
                          </w:pPr>
                          <w:r>
                            <w:t>2</w:t>
                          </w:r>
                        </w:p>
                        <w:p w14:paraId="16E88C42" w14:textId="77777777" w:rsidR="009F0E74" w:rsidRDefault="00FE2E3F">
                          <w:pPr>
                            <w:pStyle w:val="LineNumbers"/>
                          </w:pPr>
                          <w:r>
                            <w:t>3</w:t>
                          </w:r>
                        </w:p>
                        <w:p w14:paraId="725970AD" w14:textId="77777777" w:rsidR="009F0E74" w:rsidRDefault="00FE2E3F">
                          <w:pPr>
                            <w:pStyle w:val="LineNumbers"/>
                          </w:pPr>
                          <w:r>
                            <w:t>4</w:t>
                          </w:r>
                        </w:p>
                        <w:p w14:paraId="6C449F98" w14:textId="77777777" w:rsidR="009F0E74" w:rsidRDefault="00FE2E3F">
                          <w:pPr>
                            <w:pStyle w:val="LineNumbers"/>
                          </w:pPr>
                          <w:r>
                            <w:t>5</w:t>
                          </w:r>
                        </w:p>
                        <w:p w14:paraId="1FAB8913" w14:textId="77777777" w:rsidR="009F0E74" w:rsidRDefault="00FE2E3F">
                          <w:pPr>
                            <w:pStyle w:val="LineNumbers"/>
                          </w:pPr>
                          <w:r>
                            <w:t>6</w:t>
                          </w:r>
                        </w:p>
                        <w:p w14:paraId="12B66550" w14:textId="77777777" w:rsidR="009F0E74" w:rsidRDefault="00FE2E3F">
                          <w:pPr>
                            <w:pStyle w:val="LineNumbers"/>
                          </w:pPr>
                          <w:r>
                            <w:t>7</w:t>
                          </w:r>
                        </w:p>
                        <w:p w14:paraId="7A596582" w14:textId="77777777" w:rsidR="009F0E74" w:rsidRDefault="00FE2E3F">
                          <w:pPr>
                            <w:pStyle w:val="LineNumbers"/>
                          </w:pPr>
                          <w:r>
                            <w:t>8</w:t>
                          </w:r>
                        </w:p>
                        <w:p w14:paraId="529815F3" w14:textId="77777777" w:rsidR="009F0E74" w:rsidRDefault="00FE2E3F">
                          <w:pPr>
                            <w:pStyle w:val="LineNumbers"/>
                          </w:pPr>
                          <w:r>
                            <w:t>9</w:t>
                          </w:r>
                        </w:p>
                        <w:p w14:paraId="2F8EF082" w14:textId="77777777" w:rsidR="009F0E74" w:rsidRDefault="00FE2E3F">
                          <w:pPr>
                            <w:pStyle w:val="LineNumbers"/>
                          </w:pPr>
                          <w:r>
                            <w:t>10</w:t>
                          </w:r>
                        </w:p>
                        <w:p w14:paraId="19AD6DEA" w14:textId="77777777" w:rsidR="009F0E74" w:rsidRDefault="00FE2E3F">
                          <w:pPr>
                            <w:pStyle w:val="LineNumbers"/>
                          </w:pPr>
                          <w:r>
                            <w:t>11</w:t>
                          </w:r>
                        </w:p>
                        <w:p w14:paraId="2D5E76D0" w14:textId="77777777" w:rsidR="009F0E74" w:rsidRDefault="00FE2E3F">
                          <w:pPr>
                            <w:pStyle w:val="LineNumbers"/>
                          </w:pPr>
                          <w:r>
                            <w:t>12</w:t>
                          </w:r>
                        </w:p>
                        <w:p w14:paraId="1C00C402" w14:textId="77777777" w:rsidR="009F0E74" w:rsidRDefault="00FE2E3F">
                          <w:pPr>
                            <w:pStyle w:val="LineNumbers"/>
                          </w:pPr>
                          <w:r>
                            <w:t>13</w:t>
                          </w:r>
                        </w:p>
                        <w:p w14:paraId="646C4E47" w14:textId="77777777" w:rsidR="009F0E74" w:rsidRDefault="00FE2E3F">
                          <w:pPr>
                            <w:pStyle w:val="LineNumbers"/>
                          </w:pPr>
                          <w:r>
                            <w:t>14</w:t>
                          </w:r>
                        </w:p>
                        <w:p w14:paraId="2A03D38F" w14:textId="77777777" w:rsidR="009F0E74" w:rsidRDefault="00FE2E3F">
                          <w:pPr>
                            <w:pStyle w:val="LineNumbers"/>
                          </w:pPr>
                          <w:r>
                            <w:t>15</w:t>
                          </w:r>
                        </w:p>
                        <w:p w14:paraId="6FD7DFA6" w14:textId="77777777" w:rsidR="009F0E74" w:rsidRDefault="00FE2E3F">
                          <w:pPr>
                            <w:pStyle w:val="LineNumbers"/>
                          </w:pPr>
                          <w:r>
                            <w:t>16</w:t>
                          </w:r>
                        </w:p>
                        <w:p w14:paraId="47ABE72E" w14:textId="77777777" w:rsidR="009F0E74" w:rsidRDefault="00FE2E3F">
                          <w:pPr>
                            <w:pStyle w:val="LineNumbers"/>
                          </w:pPr>
                          <w:r>
                            <w:t>17</w:t>
                          </w:r>
                        </w:p>
                        <w:p w14:paraId="28D09D90" w14:textId="77777777" w:rsidR="009F0E74" w:rsidRDefault="00FE2E3F">
                          <w:pPr>
                            <w:pStyle w:val="LineNumbers"/>
                          </w:pPr>
                          <w:r>
                            <w:t>18</w:t>
                          </w:r>
                        </w:p>
                        <w:p w14:paraId="66396C96" w14:textId="77777777" w:rsidR="009F0E74" w:rsidRDefault="00FE2E3F">
                          <w:pPr>
                            <w:pStyle w:val="LineNumbers"/>
                          </w:pPr>
                          <w:r>
                            <w:t>19</w:t>
                          </w:r>
                        </w:p>
                        <w:p w14:paraId="44079713" w14:textId="77777777" w:rsidR="009F0E74" w:rsidRDefault="00FE2E3F">
                          <w:pPr>
                            <w:pStyle w:val="LineNumbers"/>
                          </w:pPr>
                          <w:r>
                            <w:t>20</w:t>
                          </w:r>
                        </w:p>
                        <w:p w14:paraId="723B92E9" w14:textId="77777777" w:rsidR="009F0E74" w:rsidRDefault="00FE2E3F">
                          <w:pPr>
                            <w:pStyle w:val="LineNumbers"/>
                          </w:pPr>
                          <w:r>
                            <w:t>21</w:t>
                          </w:r>
                        </w:p>
                        <w:p w14:paraId="727FDAC5" w14:textId="77777777" w:rsidR="009F0E74" w:rsidRDefault="00FE2E3F">
                          <w:pPr>
                            <w:pStyle w:val="LineNumbers"/>
                          </w:pPr>
                          <w:r>
                            <w:t>22</w:t>
                          </w:r>
                        </w:p>
                        <w:p w14:paraId="2DF8A796" w14:textId="77777777" w:rsidR="009F0E74" w:rsidRDefault="00FE2E3F">
                          <w:pPr>
                            <w:pStyle w:val="LineNumbers"/>
                          </w:pPr>
                          <w:r>
                            <w:t>23</w:t>
                          </w:r>
                        </w:p>
                        <w:p w14:paraId="3741EE40" w14:textId="77777777" w:rsidR="009F0E74" w:rsidRDefault="00FE2E3F">
                          <w:pPr>
                            <w:pStyle w:val="LineNumbers"/>
                          </w:pPr>
                          <w:r>
                            <w:t>24</w:t>
                          </w:r>
                        </w:p>
                        <w:p w14:paraId="775DCF09" w14:textId="77777777" w:rsidR="009F0E74" w:rsidRDefault="00FE2E3F">
                          <w:pPr>
                            <w:pStyle w:val="LineNumbers"/>
                          </w:pPr>
                          <w:r>
                            <w:t>25</w:t>
                          </w:r>
                        </w:p>
                        <w:p w14:paraId="64DC788A" w14:textId="77777777" w:rsidR="009F0E74" w:rsidRDefault="00FE2E3F">
                          <w:pPr>
                            <w:pStyle w:val="LineNumbers"/>
                          </w:pPr>
                          <w:r>
                            <w:t>26</w:t>
                          </w:r>
                        </w:p>
                        <w:p w14:paraId="7909321A" w14:textId="77777777" w:rsidR="009F0E74" w:rsidRDefault="00FE2E3F">
                          <w:pPr>
                            <w:pStyle w:val="LineNumbers"/>
                          </w:pPr>
                          <w:r>
                            <w:t>27</w:t>
                          </w:r>
                        </w:p>
                        <w:p w14:paraId="70D405D4" w14:textId="77777777" w:rsidR="009F0E74" w:rsidRDefault="00FE2E3F">
                          <w:pPr>
                            <w:pStyle w:val="LineNumbers"/>
                          </w:pPr>
                          <w:r>
                            <w:t>28</w:t>
                          </w:r>
                        </w:p>
                        <w:p w14:paraId="10F095EC"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A4BAB6" id="_x0000_t202" coordsize="21600,21600" o:spt="202" path="m,l,21600r21600,l21600,xe">
              <v:stroke joinstyle="miter"/>
              <v:path gradientshapeok="t" o:connecttype="rect"/>
            </v:shapetype>
            <v:shape id="LineNumbers" o:spid="_x0000_s1026" type="#_x0000_t202" alt="Line numbers from 1 to 28" style="position:absolute;margin-left:21.6pt;margin-top:1in;width:36pt;height:640.8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" stroked="f">
              <v:textbox inset="0,0,0,0">
                <w:txbxContent>
                  <w:p w14:paraId="469E5559" w14:textId="77777777" w:rsidR="009F0E74" w:rsidRDefault="00FE2E3F">
                    <w:pPr>
                      <w:pStyle w:val="LineNumbers"/>
                    </w:pPr>
                    <w:r>
                      <w:t>1</w:t>
                    </w:r>
                  </w:p>
                  <w:p w14:paraId="433D04A8" w14:textId="77777777" w:rsidR="009F0E74" w:rsidRDefault="00FE2E3F">
                    <w:pPr>
                      <w:pStyle w:val="LineNumbers"/>
                    </w:pPr>
                    <w:r>
                      <w:t>2</w:t>
                    </w:r>
                  </w:p>
                  <w:p w14:paraId="16E88C42" w14:textId="77777777" w:rsidR="009F0E74" w:rsidRDefault="00FE2E3F">
                    <w:pPr>
                      <w:pStyle w:val="LineNumbers"/>
                    </w:pPr>
                    <w:r>
                      <w:t>3</w:t>
                    </w:r>
                  </w:p>
                  <w:p w14:paraId="725970AD" w14:textId="77777777" w:rsidR="009F0E74" w:rsidRDefault="00FE2E3F">
                    <w:pPr>
                      <w:pStyle w:val="LineNumbers"/>
                    </w:pPr>
                    <w:r>
                      <w:t>4</w:t>
                    </w:r>
                  </w:p>
                  <w:p w14:paraId="6C449F98" w14:textId="77777777" w:rsidR="009F0E74" w:rsidRDefault="00FE2E3F">
                    <w:pPr>
                      <w:pStyle w:val="LineNumbers"/>
                    </w:pPr>
                    <w:r>
                      <w:t>5</w:t>
                    </w:r>
                  </w:p>
                  <w:p w14:paraId="1FAB8913" w14:textId="77777777" w:rsidR="009F0E74" w:rsidRDefault="00FE2E3F">
                    <w:pPr>
                      <w:pStyle w:val="LineNumbers"/>
                    </w:pPr>
                    <w:r>
                      <w:t>6</w:t>
                    </w:r>
                  </w:p>
                  <w:p w14:paraId="12B66550" w14:textId="77777777" w:rsidR="009F0E74" w:rsidRDefault="00FE2E3F">
                    <w:pPr>
                      <w:pStyle w:val="LineNumbers"/>
                    </w:pPr>
                    <w:r>
                      <w:t>7</w:t>
                    </w:r>
                  </w:p>
                  <w:p w14:paraId="7A596582" w14:textId="77777777" w:rsidR="009F0E74" w:rsidRDefault="00FE2E3F">
                    <w:pPr>
                      <w:pStyle w:val="LineNumbers"/>
                    </w:pPr>
                    <w:r>
                      <w:t>8</w:t>
                    </w:r>
                  </w:p>
                  <w:p w14:paraId="529815F3" w14:textId="77777777" w:rsidR="009F0E74" w:rsidRDefault="00FE2E3F">
                    <w:pPr>
                      <w:pStyle w:val="LineNumbers"/>
                    </w:pPr>
                    <w:r>
                      <w:t>9</w:t>
                    </w:r>
                  </w:p>
                  <w:p w14:paraId="2F8EF082" w14:textId="77777777" w:rsidR="009F0E74" w:rsidRDefault="00FE2E3F">
                    <w:pPr>
                      <w:pStyle w:val="LineNumbers"/>
                    </w:pPr>
                    <w:r>
                      <w:t>10</w:t>
                    </w:r>
                  </w:p>
                  <w:p w14:paraId="19AD6DEA" w14:textId="77777777" w:rsidR="009F0E74" w:rsidRDefault="00FE2E3F">
                    <w:pPr>
                      <w:pStyle w:val="LineNumbers"/>
                    </w:pPr>
                    <w:r>
                      <w:t>11</w:t>
                    </w:r>
                  </w:p>
                  <w:p w14:paraId="2D5E76D0" w14:textId="77777777" w:rsidR="009F0E74" w:rsidRDefault="00FE2E3F">
                    <w:pPr>
                      <w:pStyle w:val="LineNumbers"/>
                    </w:pPr>
                    <w:r>
                      <w:t>12</w:t>
                    </w:r>
                  </w:p>
                  <w:p w14:paraId="1C00C402" w14:textId="77777777" w:rsidR="009F0E74" w:rsidRDefault="00FE2E3F">
                    <w:pPr>
                      <w:pStyle w:val="LineNumbers"/>
                    </w:pPr>
                    <w:r>
                      <w:t>13</w:t>
                    </w:r>
                  </w:p>
                  <w:p w14:paraId="646C4E47" w14:textId="77777777" w:rsidR="009F0E74" w:rsidRDefault="00FE2E3F">
                    <w:pPr>
                      <w:pStyle w:val="LineNumbers"/>
                    </w:pPr>
                    <w:r>
                      <w:t>14</w:t>
                    </w:r>
                  </w:p>
                  <w:p w14:paraId="2A03D38F" w14:textId="77777777" w:rsidR="009F0E74" w:rsidRDefault="00FE2E3F">
                    <w:pPr>
                      <w:pStyle w:val="LineNumbers"/>
                    </w:pPr>
                    <w:r>
                      <w:t>15</w:t>
                    </w:r>
                  </w:p>
                  <w:p w14:paraId="6FD7DFA6" w14:textId="77777777" w:rsidR="009F0E74" w:rsidRDefault="00FE2E3F">
                    <w:pPr>
                      <w:pStyle w:val="LineNumbers"/>
                    </w:pPr>
                    <w:r>
                      <w:t>16</w:t>
                    </w:r>
                  </w:p>
                  <w:p w14:paraId="47ABE72E" w14:textId="77777777" w:rsidR="009F0E74" w:rsidRDefault="00FE2E3F">
                    <w:pPr>
                      <w:pStyle w:val="LineNumbers"/>
                    </w:pPr>
                    <w:r>
                      <w:t>17</w:t>
                    </w:r>
                  </w:p>
                  <w:p w14:paraId="28D09D90" w14:textId="77777777" w:rsidR="009F0E74" w:rsidRDefault="00FE2E3F">
                    <w:pPr>
                      <w:pStyle w:val="LineNumbers"/>
                    </w:pPr>
                    <w:r>
                      <w:t>18</w:t>
                    </w:r>
                  </w:p>
                  <w:p w14:paraId="66396C96" w14:textId="77777777" w:rsidR="009F0E74" w:rsidRDefault="00FE2E3F">
                    <w:pPr>
                      <w:pStyle w:val="LineNumbers"/>
                    </w:pPr>
                    <w:r>
                      <w:t>19</w:t>
                    </w:r>
                  </w:p>
                  <w:p w14:paraId="44079713" w14:textId="77777777" w:rsidR="009F0E74" w:rsidRDefault="00FE2E3F">
                    <w:pPr>
                      <w:pStyle w:val="LineNumbers"/>
                    </w:pPr>
                    <w:r>
                      <w:t>20</w:t>
                    </w:r>
                  </w:p>
                  <w:p w14:paraId="723B92E9" w14:textId="77777777" w:rsidR="009F0E74" w:rsidRDefault="00FE2E3F">
                    <w:pPr>
                      <w:pStyle w:val="LineNumbers"/>
                    </w:pPr>
                    <w:r>
                      <w:t>21</w:t>
                    </w:r>
                  </w:p>
                  <w:p w14:paraId="727FDAC5" w14:textId="77777777" w:rsidR="009F0E74" w:rsidRDefault="00FE2E3F">
                    <w:pPr>
                      <w:pStyle w:val="LineNumbers"/>
                    </w:pPr>
                    <w:r>
                      <w:t>22</w:t>
                    </w:r>
                  </w:p>
                  <w:p w14:paraId="2DF8A796" w14:textId="77777777" w:rsidR="009F0E74" w:rsidRDefault="00FE2E3F">
                    <w:pPr>
                      <w:pStyle w:val="LineNumbers"/>
                    </w:pPr>
                    <w:r>
                      <w:t>23</w:t>
                    </w:r>
                  </w:p>
                  <w:p w14:paraId="3741EE40" w14:textId="77777777" w:rsidR="009F0E74" w:rsidRDefault="00FE2E3F">
                    <w:pPr>
                      <w:pStyle w:val="LineNumbers"/>
                    </w:pPr>
                    <w:r>
                      <w:t>24</w:t>
                    </w:r>
                  </w:p>
                  <w:p w14:paraId="775DCF09" w14:textId="77777777" w:rsidR="009F0E74" w:rsidRDefault="00FE2E3F">
                    <w:pPr>
                      <w:pStyle w:val="LineNumbers"/>
                    </w:pPr>
                    <w:r>
                      <w:t>25</w:t>
                    </w:r>
                  </w:p>
                  <w:p w14:paraId="64DC788A" w14:textId="77777777" w:rsidR="009F0E74" w:rsidRDefault="00FE2E3F">
                    <w:pPr>
                      <w:pStyle w:val="LineNumbers"/>
                    </w:pPr>
                    <w:r>
                      <w:t>26</w:t>
                    </w:r>
                  </w:p>
                  <w:p w14:paraId="7909321A" w14:textId="77777777" w:rsidR="009F0E74" w:rsidRDefault="00FE2E3F">
                    <w:pPr>
                      <w:pStyle w:val="LineNumbers"/>
                    </w:pPr>
                    <w:r>
                      <w:t>27</w:t>
                    </w:r>
                  </w:p>
                  <w:p w14:paraId="70D405D4" w14:textId="77777777" w:rsidR="009F0E74" w:rsidRDefault="00FE2E3F">
                    <w:pPr>
                      <w:pStyle w:val="LineNumbers"/>
                    </w:pPr>
                    <w:r>
                      <w:t>28</w:t>
                    </w:r>
                  </w:p>
                  <w:p w14:paraId="10F095EC"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C87811"/>
    <w:multiLevelType w:val="hybridMultilevel"/>
    <w:tmpl w:val="9F62FCB0"/>
    <w:lvl w:ilvl="0" w:tplc="2D881A9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82215C"/>
    <w:multiLevelType w:val="hybridMultilevel"/>
    <w:tmpl w:val="EF30CB0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DDE1F57"/>
    <w:multiLevelType w:val="hybridMultilevel"/>
    <w:tmpl w:val="37E84B76"/>
    <w:lvl w:ilvl="0" w:tplc="5D54FB66">
      <w:start w:val="1"/>
      <w:numFmt w:val="bullet"/>
      <w:lvlText w:val="-"/>
      <w:lvlJc w:val="left"/>
      <w:pPr>
        <w:ind w:left="1080" w:hanging="360"/>
      </w:pPr>
      <w:rPr>
        <w:rFonts w:ascii="Charter" w:eastAsiaTheme="minorEastAsia" w:hAnsi="Charter"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1C44AB1"/>
    <w:multiLevelType w:val="hybridMultilevel"/>
    <w:tmpl w:val="7CE4A470"/>
    <w:lvl w:ilvl="0" w:tplc="0DDE42A8">
      <w:start w:val="1"/>
      <w:numFmt w:val="decimal"/>
      <w:lvlText w:val="%1)"/>
      <w:lvlJc w:val="left"/>
      <w:pPr>
        <w:ind w:left="1584" w:hanging="360"/>
      </w:pPr>
      <w:rPr>
        <w:rFonts w:hint="default"/>
      </w:rPr>
    </w:lvl>
    <w:lvl w:ilvl="1" w:tplc="79B8F910">
      <w:start w:val="1"/>
      <w:numFmt w:val="lowerLetter"/>
      <w:lvlText w:val="%2)"/>
      <w:lvlJc w:val="left"/>
      <w:pPr>
        <w:ind w:left="1944" w:hanging="360"/>
      </w:pPr>
      <w:rPr>
        <w:rFonts w:hint="default"/>
      </w:rPr>
    </w:lvl>
    <w:lvl w:ilvl="2" w:tplc="834C8B7A">
      <w:start w:val="1"/>
      <w:numFmt w:val="lowerRoman"/>
      <w:lvlText w:val="%3)"/>
      <w:lvlJc w:val="left"/>
      <w:pPr>
        <w:ind w:left="2304" w:hanging="360"/>
      </w:pPr>
      <w:rPr>
        <w:rFonts w:hint="default"/>
      </w:rPr>
    </w:lvl>
    <w:lvl w:ilvl="3" w:tplc="2F2E4AF4">
      <w:start w:val="1"/>
      <w:numFmt w:val="decimal"/>
      <w:lvlText w:val="(%4)"/>
      <w:lvlJc w:val="left"/>
      <w:pPr>
        <w:ind w:left="2664" w:hanging="360"/>
      </w:pPr>
      <w:rPr>
        <w:rFonts w:hint="default"/>
      </w:rPr>
    </w:lvl>
    <w:lvl w:ilvl="4" w:tplc="0630D2C4">
      <w:start w:val="1"/>
      <w:numFmt w:val="lowerLetter"/>
      <w:lvlText w:val="(%5)"/>
      <w:lvlJc w:val="left"/>
      <w:pPr>
        <w:ind w:left="3024" w:hanging="360"/>
      </w:pPr>
      <w:rPr>
        <w:rFonts w:hint="default"/>
      </w:rPr>
    </w:lvl>
    <w:lvl w:ilvl="5" w:tplc="50E24562">
      <w:start w:val="1"/>
      <w:numFmt w:val="lowerRoman"/>
      <w:lvlText w:val="(%6)"/>
      <w:lvlJc w:val="left"/>
      <w:pPr>
        <w:ind w:left="3384" w:hanging="360"/>
      </w:pPr>
      <w:rPr>
        <w:rFonts w:hint="default"/>
      </w:rPr>
    </w:lvl>
    <w:lvl w:ilvl="6" w:tplc="48206B3E">
      <w:start w:val="1"/>
      <w:numFmt w:val="decimal"/>
      <w:lvlText w:val="%7."/>
      <w:lvlJc w:val="left"/>
      <w:pPr>
        <w:ind w:left="3744" w:hanging="360"/>
      </w:pPr>
      <w:rPr>
        <w:rFonts w:hint="default"/>
      </w:rPr>
    </w:lvl>
    <w:lvl w:ilvl="7" w:tplc="C4905FE0">
      <w:start w:val="1"/>
      <w:numFmt w:val="lowerLetter"/>
      <w:lvlText w:val="%8."/>
      <w:lvlJc w:val="left"/>
      <w:pPr>
        <w:ind w:left="4104" w:hanging="360"/>
      </w:pPr>
      <w:rPr>
        <w:rFonts w:hint="default"/>
      </w:rPr>
    </w:lvl>
    <w:lvl w:ilvl="8" w:tplc="88AE14CE">
      <w:start w:val="1"/>
      <w:numFmt w:val="lowerRoman"/>
      <w:lvlText w:val="%9."/>
      <w:lvlJc w:val="left"/>
      <w:pPr>
        <w:ind w:left="4464" w:hanging="360"/>
      </w:pPr>
      <w:rPr>
        <w:rFonts w:hint="default"/>
      </w:rPr>
    </w:lvl>
  </w:abstractNum>
  <w:abstractNum w:abstractNumId="14" w15:restartNumberingAfterBreak="0">
    <w:nsid w:val="121F554B"/>
    <w:multiLevelType w:val="hybridMultilevel"/>
    <w:tmpl w:val="460E143C"/>
    <w:lvl w:ilvl="0" w:tplc="A3F699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694083"/>
    <w:multiLevelType w:val="hybridMultilevel"/>
    <w:tmpl w:val="0ADAAA68"/>
    <w:lvl w:ilvl="0" w:tplc="1430EB9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1137B52"/>
    <w:multiLevelType w:val="hybridMultilevel"/>
    <w:tmpl w:val="7B969E70"/>
    <w:lvl w:ilvl="0" w:tplc="2FFC4098">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3855822"/>
    <w:multiLevelType w:val="hybridMultilevel"/>
    <w:tmpl w:val="2D86F7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400E0"/>
    <w:multiLevelType w:val="hybridMultilevel"/>
    <w:tmpl w:val="D53CF958"/>
    <w:lvl w:ilvl="0" w:tplc="04090019">
      <w:start w:val="1"/>
      <w:numFmt w:val="low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36B46128"/>
    <w:multiLevelType w:val="hybridMultilevel"/>
    <w:tmpl w:val="1C08DDA6"/>
    <w:lvl w:ilvl="0" w:tplc="C88892EE">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806245"/>
    <w:multiLevelType w:val="hybridMultilevel"/>
    <w:tmpl w:val="5E1CB6C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1B372F"/>
    <w:multiLevelType w:val="hybridMultilevel"/>
    <w:tmpl w:val="A7A87C36"/>
    <w:lvl w:ilvl="0" w:tplc="2B9A3D00">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42B43D3E"/>
    <w:multiLevelType w:val="hybridMultilevel"/>
    <w:tmpl w:val="0409001D"/>
    <w:lvl w:ilvl="0" w:tplc="F274F880">
      <w:start w:val="1"/>
      <w:numFmt w:val="decimal"/>
      <w:lvlText w:val="%1)"/>
      <w:lvlJc w:val="left"/>
      <w:pPr>
        <w:ind w:left="360" w:hanging="360"/>
      </w:pPr>
    </w:lvl>
    <w:lvl w:ilvl="1" w:tplc="FA10D94A">
      <w:start w:val="1"/>
      <w:numFmt w:val="lowerLetter"/>
      <w:lvlText w:val="%2)"/>
      <w:lvlJc w:val="left"/>
      <w:pPr>
        <w:ind w:left="720" w:hanging="360"/>
      </w:pPr>
    </w:lvl>
    <w:lvl w:ilvl="2" w:tplc="6A024AE4">
      <w:start w:val="1"/>
      <w:numFmt w:val="lowerRoman"/>
      <w:lvlText w:val="%3)"/>
      <w:lvlJc w:val="left"/>
      <w:pPr>
        <w:ind w:left="1080" w:hanging="360"/>
      </w:pPr>
    </w:lvl>
    <w:lvl w:ilvl="3" w:tplc="6FE643CC">
      <w:start w:val="1"/>
      <w:numFmt w:val="decimal"/>
      <w:lvlText w:val="(%4)"/>
      <w:lvlJc w:val="left"/>
      <w:pPr>
        <w:ind w:left="1440" w:hanging="360"/>
      </w:pPr>
    </w:lvl>
    <w:lvl w:ilvl="4" w:tplc="6422D124">
      <w:start w:val="1"/>
      <w:numFmt w:val="lowerLetter"/>
      <w:lvlText w:val="(%5)"/>
      <w:lvlJc w:val="left"/>
      <w:pPr>
        <w:ind w:left="1800" w:hanging="360"/>
      </w:pPr>
    </w:lvl>
    <w:lvl w:ilvl="5" w:tplc="E4C28E48">
      <w:start w:val="1"/>
      <w:numFmt w:val="lowerRoman"/>
      <w:lvlText w:val="(%6)"/>
      <w:lvlJc w:val="left"/>
      <w:pPr>
        <w:ind w:left="2160" w:hanging="360"/>
      </w:pPr>
    </w:lvl>
    <w:lvl w:ilvl="6" w:tplc="ED5CA024">
      <w:start w:val="1"/>
      <w:numFmt w:val="decimal"/>
      <w:lvlText w:val="%7."/>
      <w:lvlJc w:val="left"/>
      <w:pPr>
        <w:ind w:left="2520" w:hanging="360"/>
      </w:pPr>
    </w:lvl>
    <w:lvl w:ilvl="7" w:tplc="167E331A">
      <w:start w:val="1"/>
      <w:numFmt w:val="lowerLetter"/>
      <w:lvlText w:val="%8."/>
      <w:lvlJc w:val="left"/>
      <w:pPr>
        <w:ind w:left="2880" w:hanging="360"/>
      </w:pPr>
    </w:lvl>
    <w:lvl w:ilvl="8" w:tplc="F0F4456A">
      <w:start w:val="1"/>
      <w:numFmt w:val="lowerRoman"/>
      <w:lvlText w:val="%9."/>
      <w:lvlJc w:val="left"/>
      <w:pPr>
        <w:ind w:left="3240" w:hanging="360"/>
      </w:pPr>
    </w:lvl>
  </w:abstractNum>
  <w:abstractNum w:abstractNumId="23" w15:restartNumberingAfterBreak="0">
    <w:nsid w:val="4CDD008C"/>
    <w:multiLevelType w:val="hybridMultilevel"/>
    <w:tmpl w:val="09B0F1B6"/>
    <w:lvl w:ilvl="0" w:tplc="5D40EB1A">
      <w:start w:val="1"/>
      <w:numFmt w:val="bullet"/>
      <w:lvlText w:val="-"/>
      <w:lvlJc w:val="left"/>
      <w:pPr>
        <w:ind w:left="1440" w:hanging="360"/>
      </w:pPr>
      <w:rPr>
        <w:rFonts w:ascii="Charter" w:eastAsiaTheme="minorEastAsia" w:hAnsi="Charter"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A082AD5"/>
    <w:multiLevelType w:val="hybridMultilevel"/>
    <w:tmpl w:val="07E8BD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412909"/>
    <w:multiLevelType w:val="hybridMultilevel"/>
    <w:tmpl w:val="935A4842"/>
    <w:lvl w:ilvl="0" w:tplc="E2B833EE">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803258"/>
    <w:multiLevelType w:val="hybridMultilevel"/>
    <w:tmpl w:val="20E65FD8"/>
    <w:lvl w:ilvl="0" w:tplc="D214021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120462C"/>
    <w:multiLevelType w:val="hybridMultilevel"/>
    <w:tmpl w:val="B4722126"/>
    <w:lvl w:ilvl="0" w:tplc="8D50BC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19F6D4D"/>
    <w:multiLevelType w:val="hybridMultilevel"/>
    <w:tmpl w:val="B1C69F08"/>
    <w:lvl w:ilvl="0" w:tplc="94449FB0">
      <w:start w:val="1"/>
      <w:numFmt w:val="decimal"/>
      <w:lvlText w:val="%1)"/>
      <w:lvlJc w:val="left"/>
      <w:pPr>
        <w:ind w:left="1440" w:hanging="360"/>
      </w:pPr>
      <w:rPr>
        <w:rFonts w:hint="default"/>
        <w:i w:val="0"/>
        <w:i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D273544"/>
    <w:multiLevelType w:val="hybridMultilevel"/>
    <w:tmpl w:val="449A3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A61143"/>
    <w:multiLevelType w:val="hybridMultilevel"/>
    <w:tmpl w:val="5920AFF0"/>
    <w:lvl w:ilvl="0" w:tplc="BEA42D6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7"/>
  </w:num>
  <w:num w:numId="13">
    <w:abstractNumId w:val="27"/>
  </w:num>
  <w:num w:numId="14">
    <w:abstractNumId w:val="22"/>
  </w:num>
  <w:num w:numId="15">
    <w:abstractNumId w:val="13"/>
  </w:num>
  <w:num w:numId="16">
    <w:abstractNumId w:val="16"/>
  </w:num>
  <w:num w:numId="17">
    <w:abstractNumId w:val="13"/>
    <w:lvlOverride w:ilvl="0">
      <w:lvl w:ilvl="0" w:tplc="0DDE42A8">
        <w:start w:val="1"/>
        <w:numFmt w:val="lowerLetter"/>
        <w:lvlText w:val="%1."/>
        <w:lvlJc w:val="left"/>
        <w:pPr>
          <w:ind w:left="2448" w:hanging="360"/>
        </w:pPr>
        <w:rPr>
          <w:rFonts w:asciiTheme="minorHAnsi" w:eastAsiaTheme="minorEastAsia" w:hAnsiTheme="minorHAnsi" w:cstheme="minorBidi"/>
        </w:rPr>
      </w:lvl>
    </w:lvlOverride>
    <w:lvlOverride w:ilvl="1">
      <w:lvl w:ilvl="1" w:tplc="79B8F910">
        <w:start w:val="1"/>
        <w:numFmt w:val="lowerLetter"/>
        <w:lvlText w:val="%2)"/>
        <w:lvlJc w:val="left"/>
        <w:pPr>
          <w:ind w:left="2808" w:hanging="360"/>
        </w:pPr>
        <w:rPr>
          <w:rFonts w:hint="default"/>
        </w:rPr>
      </w:lvl>
    </w:lvlOverride>
    <w:lvlOverride w:ilvl="2">
      <w:lvl w:ilvl="2" w:tplc="834C8B7A">
        <w:start w:val="1"/>
        <w:numFmt w:val="lowerRoman"/>
        <w:lvlText w:val="%3)"/>
        <w:lvlJc w:val="left"/>
        <w:pPr>
          <w:ind w:left="3168" w:hanging="360"/>
        </w:pPr>
        <w:rPr>
          <w:rFonts w:hint="default"/>
        </w:rPr>
      </w:lvl>
    </w:lvlOverride>
    <w:lvlOverride w:ilvl="3">
      <w:lvl w:ilvl="3" w:tplc="2F2E4AF4">
        <w:start w:val="1"/>
        <w:numFmt w:val="decimal"/>
        <w:lvlText w:val="(%4)"/>
        <w:lvlJc w:val="left"/>
        <w:pPr>
          <w:ind w:left="3528" w:hanging="360"/>
        </w:pPr>
        <w:rPr>
          <w:rFonts w:hint="default"/>
        </w:rPr>
      </w:lvl>
    </w:lvlOverride>
    <w:lvlOverride w:ilvl="4">
      <w:lvl w:ilvl="4" w:tplc="0630D2C4">
        <w:start w:val="1"/>
        <w:numFmt w:val="lowerLetter"/>
        <w:lvlText w:val="(%5)"/>
        <w:lvlJc w:val="left"/>
        <w:pPr>
          <w:ind w:left="3888" w:hanging="360"/>
        </w:pPr>
        <w:rPr>
          <w:rFonts w:hint="default"/>
        </w:rPr>
      </w:lvl>
    </w:lvlOverride>
    <w:lvlOverride w:ilvl="5">
      <w:lvl w:ilvl="5" w:tplc="50E24562">
        <w:start w:val="1"/>
        <w:numFmt w:val="lowerRoman"/>
        <w:lvlText w:val="(%6)"/>
        <w:lvlJc w:val="left"/>
        <w:pPr>
          <w:ind w:left="4248" w:hanging="360"/>
        </w:pPr>
        <w:rPr>
          <w:rFonts w:hint="default"/>
        </w:rPr>
      </w:lvl>
    </w:lvlOverride>
    <w:lvlOverride w:ilvl="6">
      <w:lvl w:ilvl="6" w:tplc="48206B3E">
        <w:start w:val="1"/>
        <w:numFmt w:val="decimal"/>
        <w:lvlText w:val="%7."/>
        <w:lvlJc w:val="left"/>
        <w:pPr>
          <w:ind w:left="4608" w:hanging="360"/>
        </w:pPr>
        <w:rPr>
          <w:rFonts w:hint="default"/>
        </w:rPr>
      </w:lvl>
    </w:lvlOverride>
    <w:lvlOverride w:ilvl="7">
      <w:lvl w:ilvl="7" w:tplc="C4905FE0">
        <w:start w:val="1"/>
        <w:numFmt w:val="lowerLetter"/>
        <w:lvlText w:val="%8."/>
        <w:lvlJc w:val="left"/>
        <w:pPr>
          <w:ind w:left="4968" w:hanging="360"/>
        </w:pPr>
        <w:rPr>
          <w:rFonts w:hint="default"/>
        </w:rPr>
      </w:lvl>
    </w:lvlOverride>
    <w:lvlOverride w:ilvl="8">
      <w:lvl w:ilvl="8" w:tplc="88AE14CE">
        <w:start w:val="1"/>
        <w:numFmt w:val="lowerRoman"/>
        <w:lvlText w:val="%9."/>
        <w:lvlJc w:val="left"/>
        <w:pPr>
          <w:ind w:left="5328" w:hanging="360"/>
        </w:pPr>
        <w:rPr>
          <w:rFonts w:hint="default"/>
        </w:rPr>
      </w:lvl>
    </w:lvlOverride>
  </w:num>
  <w:num w:numId="18">
    <w:abstractNumId w:val="25"/>
  </w:num>
  <w:num w:numId="19">
    <w:abstractNumId w:val="14"/>
  </w:num>
  <w:num w:numId="20">
    <w:abstractNumId w:val="24"/>
  </w:num>
  <w:num w:numId="21">
    <w:abstractNumId w:val="29"/>
  </w:num>
  <w:num w:numId="22">
    <w:abstractNumId w:val="20"/>
  </w:num>
  <w:num w:numId="23">
    <w:abstractNumId w:val="11"/>
  </w:num>
  <w:num w:numId="24">
    <w:abstractNumId w:val="19"/>
  </w:num>
  <w:num w:numId="25">
    <w:abstractNumId w:val="21"/>
  </w:num>
  <w:num w:numId="26">
    <w:abstractNumId w:val="10"/>
  </w:num>
  <w:num w:numId="27">
    <w:abstractNumId w:val="26"/>
  </w:num>
  <w:num w:numId="28">
    <w:abstractNumId w:val="18"/>
  </w:num>
  <w:num w:numId="29">
    <w:abstractNumId w:val="12"/>
  </w:num>
  <w:num w:numId="30">
    <w:abstractNumId w:val="23"/>
  </w:num>
  <w:num w:numId="31">
    <w:abstractNumId w:val="30"/>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B64"/>
    <w:rsid w:val="00006EED"/>
    <w:rsid w:val="000143D1"/>
    <w:rsid w:val="00021EEA"/>
    <w:rsid w:val="000241FA"/>
    <w:rsid w:val="000268F8"/>
    <w:rsid w:val="00031D93"/>
    <w:rsid w:val="000329EC"/>
    <w:rsid w:val="00035A76"/>
    <w:rsid w:val="000412D2"/>
    <w:rsid w:val="00053536"/>
    <w:rsid w:val="00053A4D"/>
    <w:rsid w:val="00055AD7"/>
    <w:rsid w:val="000575CF"/>
    <w:rsid w:val="00072066"/>
    <w:rsid w:val="00075216"/>
    <w:rsid w:val="00081EFD"/>
    <w:rsid w:val="00083840"/>
    <w:rsid w:val="000A33C1"/>
    <w:rsid w:val="000B10CC"/>
    <w:rsid w:val="000B4C0D"/>
    <w:rsid w:val="000B5427"/>
    <w:rsid w:val="000B6123"/>
    <w:rsid w:val="000C5699"/>
    <w:rsid w:val="000D6C3E"/>
    <w:rsid w:val="000E2463"/>
    <w:rsid w:val="000E5F68"/>
    <w:rsid w:val="001001B8"/>
    <w:rsid w:val="00101553"/>
    <w:rsid w:val="00105A4D"/>
    <w:rsid w:val="001115FE"/>
    <w:rsid w:val="0012050B"/>
    <w:rsid w:val="00131B2E"/>
    <w:rsid w:val="00143068"/>
    <w:rsid w:val="0014445F"/>
    <w:rsid w:val="00154F99"/>
    <w:rsid w:val="00156EE6"/>
    <w:rsid w:val="001674CB"/>
    <w:rsid w:val="001732D3"/>
    <w:rsid w:val="0017795A"/>
    <w:rsid w:val="0018318C"/>
    <w:rsid w:val="00183EFC"/>
    <w:rsid w:val="00186F40"/>
    <w:rsid w:val="001918FC"/>
    <w:rsid w:val="00192777"/>
    <w:rsid w:val="001971A5"/>
    <w:rsid w:val="001A6E08"/>
    <w:rsid w:val="001B1877"/>
    <w:rsid w:val="001B1A5E"/>
    <w:rsid w:val="001D62EE"/>
    <w:rsid w:val="001E191C"/>
    <w:rsid w:val="001E1A7D"/>
    <w:rsid w:val="001E71CE"/>
    <w:rsid w:val="001F19CD"/>
    <w:rsid w:val="002027BF"/>
    <w:rsid w:val="00204E40"/>
    <w:rsid w:val="00205794"/>
    <w:rsid w:val="002142A4"/>
    <w:rsid w:val="00222CF6"/>
    <w:rsid w:val="0022340C"/>
    <w:rsid w:val="002416EB"/>
    <w:rsid w:val="00244872"/>
    <w:rsid w:val="00261C39"/>
    <w:rsid w:val="002659FD"/>
    <w:rsid w:val="00292083"/>
    <w:rsid w:val="002939E2"/>
    <w:rsid w:val="002A27F3"/>
    <w:rsid w:val="002B001F"/>
    <w:rsid w:val="002C227E"/>
    <w:rsid w:val="002E1505"/>
    <w:rsid w:val="002E7E26"/>
    <w:rsid w:val="002F515D"/>
    <w:rsid w:val="003018AE"/>
    <w:rsid w:val="003030BA"/>
    <w:rsid w:val="00303A4C"/>
    <w:rsid w:val="003048AE"/>
    <w:rsid w:val="00304B80"/>
    <w:rsid w:val="00320934"/>
    <w:rsid w:val="00330190"/>
    <w:rsid w:val="00342720"/>
    <w:rsid w:val="00343D50"/>
    <w:rsid w:val="00350B0A"/>
    <w:rsid w:val="003532D0"/>
    <w:rsid w:val="00354F2A"/>
    <w:rsid w:val="00361BC4"/>
    <w:rsid w:val="00361F84"/>
    <w:rsid w:val="00364216"/>
    <w:rsid w:val="003721D8"/>
    <w:rsid w:val="003742BB"/>
    <w:rsid w:val="00381486"/>
    <w:rsid w:val="00394DF4"/>
    <w:rsid w:val="00396944"/>
    <w:rsid w:val="003A10A5"/>
    <w:rsid w:val="003A2162"/>
    <w:rsid w:val="003A3D9C"/>
    <w:rsid w:val="003A4666"/>
    <w:rsid w:val="003A65EA"/>
    <w:rsid w:val="003B28B9"/>
    <w:rsid w:val="003B6DEB"/>
    <w:rsid w:val="003C25AB"/>
    <w:rsid w:val="003C3F2D"/>
    <w:rsid w:val="003D035F"/>
    <w:rsid w:val="003D4FBE"/>
    <w:rsid w:val="003D694D"/>
    <w:rsid w:val="003D76CF"/>
    <w:rsid w:val="003F04FC"/>
    <w:rsid w:val="003F110B"/>
    <w:rsid w:val="003F3D88"/>
    <w:rsid w:val="003F4CC5"/>
    <w:rsid w:val="00406BDD"/>
    <w:rsid w:val="0043264D"/>
    <w:rsid w:val="00435BFF"/>
    <w:rsid w:val="00441EBC"/>
    <w:rsid w:val="00444197"/>
    <w:rsid w:val="004443DC"/>
    <w:rsid w:val="00445FAF"/>
    <w:rsid w:val="00451717"/>
    <w:rsid w:val="00453ED6"/>
    <w:rsid w:val="004546E5"/>
    <w:rsid w:val="004549D3"/>
    <w:rsid w:val="0045537A"/>
    <w:rsid w:val="00466DB5"/>
    <w:rsid w:val="00472971"/>
    <w:rsid w:val="00474407"/>
    <w:rsid w:val="00485AAC"/>
    <w:rsid w:val="004A455F"/>
    <w:rsid w:val="004A5683"/>
    <w:rsid w:val="004B0010"/>
    <w:rsid w:val="004B2E32"/>
    <w:rsid w:val="004B60F7"/>
    <w:rsid w:val="004C271C"/>
    <w:rsid w:val="004D57AB"/>
    <w:rsid w:val="004D5AC8"/>
    <w:rsid w:val="004E0DB9"/>
    <w:rsid w:val="004E72DD"/>
    <w:rsid w:val="004E7CF7"/>
    <w:rsid w:val="004F15E7"/>
    <w:rsid w:val="004F58BF"/>
    <w:rsid w:val="004F7471"/>
    <w:rsid w:val="005037C6"/>
    <w:rsid w:val="00511F1F"/>
    <w:rsid w:val="005138FC"/>
    <w:rsid w:val="0051522B"/>
    <w:rsid w:val="00521EBC"/>
    <w:rsid w:val="0053291B"/>
    <w:rsid w:val="00557740"/>
    <w:rsid w:val="0056480B"/>
    <w:rsid w:val="00567DB9"/>
    <w:rsid w:val="00574CE6"/>
    <w:rsid w:val="00575B9A"/>
    <w:rsid w:val="00577179"/>
    <w:rsid w:val="00583AF0"/>
    <w:rsid w:val="00585FD7"/>
    <w:rsid w:val="0059179C"/>
    <w:rsid w:val="00592068"/>
    <w:rsid w:val="005971C9"/>
    <w:rsid w:val="005A06A4"/>
    <w:rsid w:val="005A79EF"/>
    <w:rsid w:val="005B0B76"/>
    <w:rsid w:val="005B3075"/>
    <w:rsid w:val="005C65B8"/>
    <w:rsid w:val="005D112E"/>
    <w:rsid w:val="005E513C"/>
    <w:rsid w:val="005E70D4"/>
    <w:rsid w:val="00601FFF"/>
    <w:rsid w:val="00604FFB"/>
    <w:rsid w:val="00605163"/>
    <w:rsid w:val="00611DDF"/>
    <w:rsid w:val="0061604D"/>
    <w:rsid w:val="006271AE"/>
    <w:rsid w:val="00627512"/>
    <w:rsid w:val="00627A28"/>
    <w:rsid w:val="00630091"/>
    <w:rsid w:val="00635B01"/>
    <w:rsid w:val="0063770E"/>
    <w:rsid w:val="006426E8"/>
    <w:rsid w:val="0064741D"/>
    <w:rsid w:val="006526BC"/>
    <w:rsid w:val="006578C3"/>
    <w:rsid w:val="00663196"/>
    <w:rsid w:val="00665882"/>
    <w:rsid w:val="00673A0A"/>
    <w:rsid w:val="00683E0E"/>
    <w:rsid w:val="0068430D"/>
    <w:rsid w:val="006861AC"/>
    <w:rsid w:val="006A41AF"/>
    <w:rsid w:val="006A781F"/>
    <w:rsid w:val="006B3139"/>
    <w:rsid w:val="006B47FA"/>
    <w:rsid w:val="006C1D4E"/>
    <w:rsid w:val="006C5E83"/>
    <w:rsid w:val="006D3601"/>
    <w:rsid w:val="006E2BD1"/>
    <w:rsid w:val="006E7A9A"/>
    <w:rsid w:val="0071462B"/>
    <w:rsid w:val="0071716F"/>
    <w:rsid w:val="00722D39"/>
    <w:rsid w:val="007357F6"/>
    <w:rsid w:val="00735BE2"/>
    <w:rsid w:val="00736A79"/>
    <w:rsid w:val="00737348"/>
    <w:rsid w:val="00746AF4"/>
    <w:rsid w:val="007473DE"/>
    <w:rsid w:val="00751276"/>
    <w:rsid w:val="00755A04"/>
    <w:rsid w:val="007767EC"/>
    <w:rsid w:val="0079232F"/>
    <w:rsid w:val="0079681F"/>
    <w:rsid w:val="007A0956"/>
    <w:rsid w:val="007A3C4A"/>
    <w:rsid w:val="007A49AE"/>
    <w:rsid w:val="007B5E88"/>
    <w:rsid w:val="007B789E"/>
    <w:rsid w:val="007C5842"/>
    <w:rsid w:val="007F766A"/>
    <w:rsid w:val="00800F2E"/>
    <w:rsid w:val="0080797C"/>
    <w:rsid w:val="00822B66"/>
    <w:rsid w:val="0082402A"/>
    <w:rsid w:val="008355D4"/>
    <w:rsid w:val="0083608B"/>
    <w:rsid w:val="00846846"/>
    <w:rsid w:val="00847FCB"/>
    <w:rsid w:val="008546CB"/>
    <w:rsid w:val="008600CC"/>
    <w:rsid w:val="008644CB"/>
    <w:rsid w:val="0087261F"/>
    <w:rsid w:val="00872A3B"/>
    <w:rsid w:val="0087622C"/>
    <w:rsid w:val="00880069"/>
    <w:rsid w:val="00895D2C"/>
    <w:rsid w:val="00895FB1"/>
    <w:rsid w:val="008A0EF2"/>
    <w:rsid w:val="008B0106"/>
    <w:rsid w:val="008B1349"/>
    <w:rsid w:val="008B4337"/>
    <w:rsid w:val="008C11E1"/>
    <w:rsid w:val="008C20DE"/>
    <w:rsid w:val="008C2D72"/>
    <w:rsid w:val="008C4BD7"/>
    <w:rsid w:val="008C504D"/>
    <w:rsid w:val="008C5774"/>
    <w:rsid w:val="008C7DAF"/>
    <w:rsid w:val="008F3A73"/>
    <w:rsid w:val="008F454C"/>
    <w:rsid w:val="00901332"/>
    <w:rsid w:val="0090520B"/>
    <w:rsid w:val="009178A5"/>
    <w:rsid w:val="00930E79"/>
    <w:rsid w:val="00931AEE"/>
    <w:rsid w:val="009349DE"/>
    <w:rsid w:val="0094161F"/>
    <w:rsid w:val="009425AD"/>
    <w:rsid w:val="00953542"/>
    <w:rsid w:val="009568BC"/>
    <w:rsid w:val="009643F1"/>
    <w:rsid w:val="00964A36"/>
    <w:rsid w:val="00966264"/>
    <w:rsid w:val="009713B5"/>
    <w:rsid w:val="00983009"/>
    <w:rsid w:val="009918DE"/>
    <w:rsid w:val="00992DF0"/>
    <w:rsid w:val="009958E6"/>
    <w:rsid w:val="009979F0"/>
    <w:rsid w:val="009A303F"/>
    <w:rsid w:val="009A4600"/>
    <w:rsid w:val="009B0901"/>
    <w:rsid w:val="009B5822"/>
    <w:rsid w:val="009B5E7E"/>
    <w:rsid w:val="009D35FE"/>
    <w:rsid w:val="009D6B3E"/>
    <w:rsid w:val="009E1410"/>
    <w:rsid w:val="009F09D7"/>
    <w:rsid w:val="009F0E74"/>
    <w:rsid w:val="009F3E40"/>
    <w:rsid w:val="009F4A0F"/>
    <w:rsid w:val="00A04CF0"/>
    <w:rsid w:val="00A05751"/>
    <w:rsid w:val="00A05A56"/>
    <w:rsid w:val="00A06110"/>
    <w:rsid w:val="00A108DC"/>
    <w:rsid w:val="00A11718"/>
    <w:rsid w:val="00A148D8"/>
    <w:rsid w:val="00A216AD"/>
    <w:rsid w:val="00A21D33"/>
    <w:rsid w:val="00A25B88"/>
    <w:rsid w:val="00A34117"/>
    <w:rsid w:val="00A346FF"/>
    <w:rsid w:val="00A37D09"/>
    <w:rsid w:val="00A4407B"/>
    <w:rsid w:val="00A7200D"/>
    <w:rsid w:val="00A76D12"/>
    <w:rsid w:val="00A76E7A"/>
    <w:rsid w:val="00A82765"/>
    <w:rsid w:val="00A905EB"/>
    <w:rsid w:val="00A9079B"/>
    <w:rsid w:val="00A90E8B"/>
    <w:rsid w:val="00A92AE3"/>
    <w:rsid w:val="00A94F11"/>
    <w:rsid w:val="00A96F6E"/>
    <w:rsid w:val="00AA03FD"/>
    <w:rsid w:val="00AA1650"/>
    <w:rsid w:val="00AA3C4B"/>
    <w:rsid w:val="00AA5B3E"/>
    <w:rsid w:val="00AA606F"/>
    <w:rsid w:val="00AA7D51"/>
    <w:rsid w:val="00AB001F"/>
    <w:rsid w:val="00AB6C23"/>
    <w:rsid w:val="00AC092B"/>
    <w:rsid w:val="00AC4CD1"/>
    <w:rsid w:val="00AE1ED1"/>
    <w:rsid w:val="00AE557D"/>
    <w:rsid w:val="00AE6302"/>
    <w:rsid w:val="00AE7B1D"/>
    <w:rsid w:val="00AF052B"/>
    <w:rsid w:val="00AF72A9"/>
    <w:rsid w:val="00B00F62"/>
    <w:rsid w:val="00B17174"/>
    <w:rsid w:val="00B17AB9"/>
    <w:rsid w:val="00B24695"/>
    <w:rsid w:val="00B267E4"/>
    <w:rsid w:val="00B314D7"/>
    <w:rsid w:val="00B32295"/>
    <w:rsid w:val="00B36099"/>
    <w:rsid w:val="00B43245"/>
    <w:rsid w:val="00B70053"/>
    <w:rsid w:val="00B7342F"/>
    <w:rsid w:val="00B74534"/>
    <w:rsid w:val="00B84BA8"/>
    <w:rsid w:val="00B920F2"/>
    <w:rsid w:val="00B92414"/>
    <w:rsid w:val="00BA354B"/>
    <w:rsid w:val="00BA4030"/>
    <w:rsid w:val="00BA5DCA"/>
    <w:rsid w:val="00BB3CEA"/>
    <w:rsid w:val="00BB548C"/>
    <w:rsid w:val="00BC1070"/>
    <w:rsid w:val="00BD1394"/>
    <w:rsid w:val="00BD1E46"/>
    <w:rsid w:val="00BD639D"/>
    <w:rsid w:val="00BD77E6"/>
    <w:rsid w:val="00BE28E2"/>
    <w:rsid w:val="00BF5955"/>
    <w:rsid w:val="00C0000D"/>
    <w:rsid w:val="00C03063"/>
    <w:rsid w:val="00C03678"/>
    <w:rsid w:val="00C036B0"/>
    <w:rsid w:val="00C05A2B"/>
    <w:rsid w:val="00C0750E"/>
    <w:rsid w:val="00C114A4"/>
    <w:rsid w:val="00C11B64"/>
    <w:rsid w:val="00C176AF"/>
    <w:rsid w:val="00C17A1F"/>
    <w:rsid w:val="00C240B9"/>
    <w:rsid w:val="00C30885"/>
    <w:rsid w:val="00C309C9"/>
    <w:rsid w:val="00C3791A"/>
    <w:rsid w:val="00C37EA4"/>
    <w:rsid w:val="00C46755"/>
    <w:rsid w:val="00C52D21"/>
    <w:rsid w:val="00C5387F"/>
    <w:rsid w:val="00C56648"/>
    <w:rsid w:val="00C61B57"/>
    <w:rsid w:val="00C630B9"/>
    <w:rsid w:val="00C6730C"/>
    <w:rsid w:val="00C73A96"/>
    <w:rsid w:val="00C74D85"/>
    <w:rsid w:val="00C82BC0"/>
    <w:rsid w:val="00C971A5"/>
    <w:rsid w:val="00CA4300"/>
    <w:rsid w:val="00CA4C3E"/>
    <w:rsid w:val="00CA73DF"/>
    <w:rsid w:val="00CB3CFC"/>
    <w:rsid w:val="00CB411C"/>
    <w:rsid w:val="00CB5A0B"/>
    <w:rsid w:val="00CB65AA"/>
    <w:rsid w:val="00CC24BA"/>
    <w:rsid w:val="00CC3BEA"/>
    <w:rsid w:val="00CD2B7F"/>
    <w:rsid w:val="00CD5571"/>
    <w:rsid w:val="00CE0046"/>
    <w:rsid w:val="00CE06F5"/>
    <w:rsid w:val="00CE20F1"/>
    <w:rsid w:val="00CE4637"/>
    <w:rsid w:val="00CE542E"/>
    <w:rsid w:val="00CF2C9B"/>
    <w:rsid w:val="00CF318B"/>
    <w:rsid w:val="00D00755"/>
    <w:rsid w:val="00D03DE6"/>
    <w:rsid w:val="00D078E6"/>
    <w:rsid w:val="00D1237C"/>
    <w:rsid w:val="00D215F7"/>
    <w:rsid w:val="00D23FA0"/>
    <w:rsid w:val="00D24B8D"/>
    <w:rsid w:val="00D33171"/>
    <w:rsid w:val="00D42D1C"/>
    <w:rsid w:val="00D7281B"/>
    <w:rsid w:val="00D758EA"/>
    <w:rsid w:val="00D77662"/>
    <w:rsid w:val="00D80713"/>
    <w:rsid w:val="00D82986"/>
    <w:rsid w:val="00D852F7"/>
    <w:rsid w:val="00DA3BF3"/>
    <w:rsid w:val="00DB2AB5"/>
    <w:rsid w:val="00DB4E14"/>
    <w:rsid w:val="00DB5B71"/>
    <w:rsid w:val="00DD043A"/>
    <w:rsid w:val="00DD5E09"/>
    <w:rsid w:val="00DF47D9"/>
    <w:rsid w:val="00E01988"/>
    <w:rsid w:val="00E1573A"/>
    <w:rsid w:val="00E15B55"/>
    <w:rsid w:val="00E237DF"/>
    <w:rsid w:val="00E24DD2"/>
    <w:rsid w:val="00E2608C"/>
    <w:rsid w:val="00E30FBD"/>
    <w:rsid w:val="00E446D3"/>
    <w:rsid w:val="00E53C22"/>
    <w:rsid w:val="00E62D38"/>
    <w:rsid w:val="00E66668"/>
    <w:rsid w:val="00E76D25"/>
    <w:rsid w:val="00E774ED"/>
    <w:rsid w:val="00E8310A"/>
    <w:rsid w:val="00E83789"/>
    <w:rsid w:val="00E879E6"/>
    <w:rsid w:val="00E907DA"/>
    <w:rsid w:val="00E967EB"/>
    <w:rsid w:val="00EA2FEB"/>
    <w:rsid w:val="00EA5622"/>
    <w:rsid w:val="00EC1E84"/>
    <w:rsid w:val="00EC2F36"/>
    <w:rsid w:val="00EC7224"/>
    <w:rsid w:val="00ED375A"/>
    <w:rsid w:val="00ED3F79"/>
    <w:rsid w:val="00ED46DB"/>
    <w:rsid w:val="00EE0BAC"/>
    <w:rsid w:val="00EE5A02"/>
    <w:rsid w:val="00EE631C"/>
    <w:rsid w:val="00EF1EAE"/>
    <w:rsid w:val="00F05C29"/>
    <w:rsid w:val="00F07788"/>
    <w:rsid w:val="00F32255"/>
    <w:rsid w:val="00F42AD2"/>
    <w:rsid w:val="00F43A13"/>
    <w:rsid w:val="00F52D62"/>
    <w:rsid w:val="00F5353E"/>
    <w:rsid w:val="00F615EF"/>
    <w:rsid w:val="00F62912"/>
    <w:rsid w:val="00F63CA3"/>
    <w:rsid w:val="00F65109"/>
    <w:rsid w:val="00F66311"/>
    <w:rsid w:val="00F66859"/>
    <w:rsid w:val="00F7343F"/>
    <w:rsid w:val="00F739A9"/>
    <w:rsid w:val="00F90E99"/>
    <w:rsid w:val="00FA0446"/>
    <w:rsid w:val="00FA22C1"/>
    <w:rsid w:val="00FA4513"/>
    <w:rsid w:val="00FB0D03"/>
    <w:rsid w:val="00FB0F78"/>
    <w:rsid w:val="00FB1AEF"/>
    <w:rsid w:val="00FB22FC"/>
    <w:rsid w:val="00FB5091"/>
    <w:rsid w:val="00FC03E2"/>
    <w:rsid w:val="00FC3A5A"/>
    <w:rsid w:val="00FD0853"/>
    <w:rsid w:val="00FD7F79"/>
    <w:rsid w:val="00FE04B8"/>
    <w:rsid w:val="00FE2868"/>
    <w:rsid w:val="00FE2E3F"/>
    <w:rsid w:val="00FE6B43"/>
    <w:rsid w:val="00FF160D"/>
    <w:rsid w:val="00FF38D6"/>
    <w:rsid w:val="00FF43B7"/>
    <w:rsid w:val="0232F4FD"/>
    <w:rsid w:val="02C9F68B"/>
    <w:rsid w:val="02D48A76"/>
    <w:rsid w:val="02DCDA60"/>
    <w:rsid w:val="04A8D8EA"/>
    <w:rsid w:val="06036BEA"/>
    <w:rsid w:val="06D419E0"/>
    <w:rsid w:val="07B03AB4"/>
    <w:rsid w:val="0B3E0BFA"/>
    <w:rsid w:val="0B9AA50A"/>
    <w:rsid w:val="0E07AA07"/>
    <w:rsid w:val="0F4B9E66"/>
    <w:rsid w:val="116204D2"/>
    <w:rsid w:val="116E3395"/>
    <w:rsid w:val="124D6F24"/>
    <w:rsid w:val="1426C6EB"/>
    <w:rsid w:val="152FD401"/>
    <w:rsid w:val="161D75A4"/>
    <w:rsid w:val="1996BE18"/>
    <w:rsid w:val="1B364E2A"/>
    <w:rsid w:val="2091D1D3"/>
    <w:rsid w:val="222B0B61"/>
    <w:rsid w:val="22502DD3"/>
    <w:rsid w:val="246326F5"/>
    <w:rsid w:val="2648DBDB"/>
    <w:rsid w:val="26B6378E"/>
    <w:rsid w:val="27326318"/>
    <w:rsid w:val="2B8E115C"/>
    <w:rsid w:val="2BB68FE1"/>
    <w:rsid w:val="2DE788EC"/>
    <w:rsid w:val="2FD8508D"/>
    <w:rsid w:val="308DDBB7"/>
    <w:rsid w:val="3110CC71"/>
    <w:rsid w:val="314DF754"/>
    <w:rsid w:val="317CC912"/>
    <w:rsid w:val="31CF8952"/>
    <w:rsid w:val="351FA8FE"/>
    <w:rsid w:val="3599B75A"/>
    <w:rsid w:val="360C7B4F"/>
    <w:rsid w:val="39065911"/>
    <w:rsid w:val="39F7A722"/>
    <w:rsid w:val="3A88152A"/>
    <w:rsid w:val="3ADD6B88"/>
    <w:rsid w:val="3B0A969D"/>
    <w:rsid w:val="3C253BB8"/>
    <w:rsid w:val="3DCC22A6"/>
    <w:rsid w:val="3E2629EA"/>
    <w:rsid w:val="40E07C81"/>
    <w:rsid w:val="40F1F25D"/>
    <w:rsid w:val="4293270F"/>
    <w:rsid w:val="42EC4915"/>
    <w:rsid w:val="43F92EFD"/>
    <w:rsid w:val="44265EFF"/>
    <w:rsid w:val="45E150C8"/>
    <w:rsid w:val="4717BB7F"/>
    <w:rsid w:val="477E874F"/>
    <w:rsid w:val="490D8A78"/>
    <w:rsid w:val="49416209"/>
    <w:rsid w:val="4BA755EE"/>
    <w:rsid w:val="4D7580A6"/>
    <w:rsid w:val="4E68DDF7"/>
    <w:rsid w:val="4F86E520"/>
    <w:rsid w:val="5246EDF8"/>
    <w:rsid w:val="534A2979"/>
    <w:rsid w:val="54D6ABB8"/>
    <w:rsid w:val="556662DC"/>
    <w:rsid w:val="5615A3D2"/>
    <w:rsid w:val="56527B65"/>
    <w:rsid w:val="59DAB018"/>
    <w:rsid w:val="5A9475EF"/>
    <w:rsid w:val="5C832FDE"/>
    <w:rsid w:val="5DAFA092"/>
    <w:rsid w:val="5E647DB6"/>
    <w:rsid w:val="6336080E"/>
    <w:rsid w:val="64F630CB"/>
    <w:rsid w:val="657B2202"/>
    <w:rsid w:val="6603E569"/>
    <w:rsid w:val="66137FF6"/>
    <w:rsid w:val="6639B4D0"/>
    <w:rsid w:val="685F2E4A"/>
    <w:rsid w:val="68ADA029"/>
    <w:rsid w:val="6A2CB6F9"/>
    <w:rsid w:val="6CA2E9F3"/>
    <w:rsid w:val="6CA4B6FB"/>
    <w:rsid w:val="6D459D61"/>
    <w:rsid w:val="6F2E4668"/>
    <w:rsid w:val="6FFB7467"/>
    <w:rsid w:val="70578F62"/>
    <w:rsid w:val="707B0D42"/>
    <w:rsid w:val="7154D1A6"/>
    <w:rsid w:val="72EB2C81"/>
    <w:rsid w:val="762697FA"/>
    <w:rsid w:val="772EFC60"/>
    <w:rsid w:val="7751A884"/>
    <w:rsid w:val="78DEE98E"/>
    <w:rsid w:val="7903AC59"/>
    <w:rsid w:val="79C824EF"/>
    <w:rsid w:val="7ABA604E"/>
    <w:rsid w:val="7B1B1803"/>
    <w:rsid w:val="7B713B1E"/>
    <w:rsid w:val="7E58DCF8"/>
    <w:rsid w:val="7E9E44E4"/>
    <w:rsid w:val="7F20DE86"/>
    <w:rsid w:val="7FADFCA1"/>
    <w:rsid w:val="7FF4F6B4"/>
    <w:rsid w:val="7FFC9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FE2CE2"/>
  <w15:chartTrackingRefBased/>
  <w15:docId w15:val="{65E9AD02-6693-48AC-8B52-2F76DEA47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character" w:styleId="UnresolvedMention">
    <w:name w:val="Unresolved Mention"/>
    <w:basedOn w:val="DefaultParagraphFont"/>
    <w:uiPriority w:val="99"/>
    <w:semiHidden/>
    <w:unhideWhenUsed/>
    <w:rsid w:val="00F05C29"/>
    <w:rPr>
      <w:color w:val="605E5C"/>
      <w:shd w:val="clear" w:color="auto" w:fill="E1DFDD"/>
    </w:rPr>
  </w:style>
  <w:style w:type="table" w:customStyle="1" w:styleId="TableGrid1">
    <w:name w:val="Table Grid1"/>
    <w:basedOn w:val="TableNormal"/>
    <w:next w:val="TableGrid"/>
    <w:uiPriority w:val="39"/>
    <w:rsid w:val="00EC7224"/>
    <w:pPr>
      <w:spacing w:after="200" w:line="240" w:lineRule="auto"/>
      <w:ind w:firstLine="0"/>
    </w:pPr>
    <w:rPr>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32295"/>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 w:type="paragraph" w:styleId="CommentText">
    <w:name w:val="annotation text"/>
    <w:basedOn w:val="Normal"/>
    <w:link w:val="CommentTextChar"/>
    <w:uiPriority w:val="99"/>
    <w:semiHidden/>
    <w:unhideWhenUsed/>
    <w:rsid w:val="0059179C"/>
    <w:pPr>
      <w:spacing w:line="240" w:lineRule="auto"/>
    </w:pPr>
  </w:style>
  <w:style w:type="character" w:customStyle="1" w:styleId="CommentTextChar">
    <w:name w:val="Comment Text Char"/>
    <w:basedOn w:val="DefaultParagraphFont"/>
    <w:link w:val="CommentText"/>
    <w:uiPriority w:val="99"/>
    <w:semiHidden/>
    <w:rsid w:val="0059179C"/>
  </w:style>
  <w:style w:type="character" w:styleId="CommentReference">
    <w:name w:val="annotation reference"/>
    <w:basedOn w:val="DefaultParagraphFont"/>
    <w:uiPriority w:val="99"/>
    <w:semiHidden/>
    <w:unhideWhenUsed/>
    <w:rsid w:val="0059179C"/>
    <w:rPr>
      <w:sz w:val="16"/>
      <w:szCs w:val="16"/>
    </w:rPr>
  </w:style>
  <w:style w:type="character" w:customStyle="1" w:styleId="coconcept2125">
    <w:name w:val="co_concept_21_25"/>
    <w:basedOn w:val="DefaultParagraphFont"/>
    <w:rsid w:val="00D758EA"/>
  </w:style>
  <w:style w:type="character" w:customStyle="1" w:styleId="coconcept3540">
    <w:name w:val="co_concept_35_40"/>
    <w:basedOn w:val="DefaultParagraphFont"/>
    <w:rsid w:val="00D758EA"/>
  </w:style>
  <w:style w:type="character" w:customStyle="1" w:styleId="coconcept812">
    <w:name w:val="co_concept_8_12"/>
    <w:basedOn w:val="DefaultParagraphFont"/>
    <w:rsid w:val="00D758EA"/>
  </w:style>
  <w:style w:type="character" w:customStyle="1" w:styleId="coconcept2733">
    <w:name w:val="co_concept_27_33"/>
    <w:basedOn w:val="DefaultParagraphFont"/>
    <w:rsid w:val="00D758EA"/>
  </w:style>
  <w:style w:type="character" w:customStyle="1" w:styleId="cosearchterm">
    <w:name w:val="co_searchterm"/>
    <w:basedOn w:val="DefaultParagraphFont"/>
    <w:rsid w:val="00FB5091"/>
  </w:style>
  <w:style w:type="character" w:customStyle="1" w:styleId="cosmallcaps">
    <w:name w:val="co_smallcaps"/>
    <w:basedOn w:val="DefaultParagraphFont"/>
    <w:rsid w:val="00FB5091"/>
  </w:style>
  <w:style w:type="paragraph" w:customStyle="1" w:styleId="Default">
    <w:name w:val="Default"/>
    <w:rsid w:val="00FB0D03"/>
    <w:pPr>
      <w:autoSpaceDE w:val="0"/>
      <w:autoSpaceDN w:val="0"/>
      <w:adjustRightInd w:val="0"/>
      <w:spacing w:line="240" w:lineRule="auto"/>
      <w:ind w:firstLine="0"/>
    </w:pPr>
    <w:rPr>
      <w:rFonts w:ascii="Century Schoolbook" w:hAnsi="Century Schoolbook" w:cs="Century Schoolbook"/>
      <w:color w:val="000000"/>
      <w:sz w:val="24"/>
      <w:szCs w:val="24"/>
    </w:rPr>
  </w:style>
  <w:style w:type="paragraph" w:styleId="FootnoteText">
    <w:name w:val="footnote text"/>
    <w:basedOn w:val="Normal"/>
    <w:link w:val="FootnoteTextChar"/>
    <w:uiPriority w:val="99"/>
    <w:semiHidden/>
    <w:unhideWhenUsed/>
    <w:rsid w:val="00822B66"/>
    <w:pPr>
      <w:spacing w:line="240" w:lineRule="auto"/>
    </w:pPr>
  </w:style>
  <w:style w:type="character" w:customStyle="1" w:styleId="FootnoteTextChar">
    <w:name w:val="Footnote Text Char"/>
    <w:basedOn w:val="DefaultParagraphFont"/>
    <w:link w:val="FootnoteText"/>
    <w:uiPriority w:val="99"/>
    <w:semiHidden/>
    <w:rsid w:val="00822B66"/>
  </w:style>
  <w:style w:type="character" w:styleId="FootnoteReference">
    <w:name w:val="footnote reference"/>
    <w:basedOn w:val="DefaultParagraphFont"/>
    <w:uiPriority w:val="99"/>
    <w:semiHidden/>
    <w:unhideWhenUsed/>
    <w:rsid w:val="00822B66"/>
    <w:rPr>
      <w:vertAlign w:val="superscript"/>
    </w:rPr>
  </w:style>
  <w:style w:type="paragraph" w:styleId="HTMLPreformatted">
    <w:name w:val="HTML Preformatted"/>
    <w:basedOn w:val="Normal"/>
    <w:link w:val="HTMLPreformattedChar"/>
    <w:uiPriority w:val="99"/>
    <w:semiHidden/>
    <w:unhideWhenUsed/>
    <w:rsid w:val="001E1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lang w:eastAsia="en-US"/>
    </w:rPr>
  </w:style>
  <w:style w:type="character" w:customStyle="1" w:styleId="HTMLPreformattedChar">
    <w:name w:val="HTML Preformatted Char"/>
    <w:basedOn w:val="DefaultParagraphFont"/>
    <w:link w:val="HTMLPreformatted"/>
    <w:uiPriority w:val="99"/>
    <w:semiHidden/>
    <w:rsid w:val="001E1A7D"/>
    <w:rPr>
      <w:rFonts w:ascii="Courier New" w:eastAsia="Times New Roman" w:hAnsi="Courier New" w:cs="Courier New"/>
      <w:lang w:eastAsia="en-US"/>
    </w:rPr>
  </w:style>
  <w:style w:type="paragraph" w:styleId="CommentSubject">
    <w:name w:val="annotation subject"/>
    <w:basedOn w:val="CommentText"/>
    <w:next w:val="CommentText"/>
    <w:link w:val="CommentSubjectChar"/>
    <w:uiPriority w:val="99"/>
    <w:semiHidden/>
    <w:unhideWhenUsed/>
    <w:rsid w:val="00ED3F79"/>
    <w:rPr>
      <w:b/>
      <w:bCs/>
    </w:rPr>
  </w:style>
  <w:style w:type="character" w:customStyle="1" w:styleId="CommentSubjectChar">
    <w:name w:val="Comment Subject Char"/>
    <w:basedOn w:val="CommentTextChar"/>
    <w:link w:val="CommentSubject"/>
    <w:uiPriority w:val="99"/>
    <w:semiHidden/>
    <w:rsid w:val="00ED3F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027356">
      <w:bodyDiv w:val="1"/>
      <w:marLeft w:val="0"/>
      <w:marRight w:val="0"/>
      <w:marTop w:val="0"/>
      <w:marBottom w:val="0"/>
      <w:divBdr>
        <w:top w:val="none" w:sz="0" w:space="0" w:color="auto"/>
        <w:left w:val="none" w:sz="0" w:space="0" w:color="auto"/>
        <w:bottom w:val="none" w:sz="0" w:space="0" w:color="auto"/>
        <w:right w:val="none" w:sz="0" w:space="0" w:color="auto"/>
      </w:divBdr>
      <w:divsChild>
        <w:div w:id="1870072549">
          <w:marLeft w:val="0"/>
          <w:marRight w:val="0"/>
          <w:marTop w:val="0"/>
          <w:marBottom w:val="0"/>
          <w:divBdr>
            <w:top w:val="none" w:sz="0" w:space="0" w:color="auto"/>
            <w:left w:val="none" w:sz="0" w:space="0" w:color="auto"/>
            <w:bottom w:val="none" w:sz="0" w:space="0" w:color="auto"/>
            <w:right w:val="none" w:sz="0" w:space="0" w:color="auto"/>
          </w:divBdr>
        </w:div>
      </w:divsChild>
    </w:div>
    <w:div w:id="230309112">
      <w:bodyDiv w:val="1"/>
      <w:marLeft w:val="0"/>
      <w:marRight w:val="0"/>
      <w:marTop w:val="0"/>
      <w:marBottom w:val="0"/>
      <w:divBdr>
        <w:top w:val="none" w:sz="0" w:space="0" w:color="auto"/>
        <w:left w:val="none" w:sz="0" w:space="0" w:color="auto"/>
        <w:bottom w:val="none" w:sz="0" w:space="0" w:color="auto"/>
        <w:right w:val="none" w:sz="0" w:space="0" w:color="auto"/>
      </w:divBdr>
    </w:div>
    <w:div w:id="334386283">
      <w:bodyDiv w:val="1"/>
      <w:marLeft w:val="0"/>
      <w:marRight w:val="0"/>
      <w:marTop w:val="0"/>
      <w:marBottom w:val="0"/>
      <w:divBdr>
        <w:top w:val="none" w:sz="0" w:space="0" w:color="auto"/>
        <w:left w:val="none" w:sz="0" w:space="0" w:color="auto"/>
        <w:bottom w:val="none" w:sz="0" w:space="0" w:color="auto"/>
        <w:right w:val="none" w:sz="0" w:space="0" w:color="auto"/>
      </w:divBdr>
    </w:div>
    <w:div w:id="357971733">
      <w:bodyDiv w:val="1"/>
      <w:marLeft w:val="0"/>
      <w:marRight w:val="0"/>
      <w:marTop w:val="0"/>
      <w:marBottom w:val="0"/>
      <w:divBdr>
        <w:top w:val="none" w:sz="0" w:space="0" w:color="auto"/>
        <w:left w:val="none" w:sz="0" w:space="0" w:color="auto"/>
        <w:bottom w:val="none" w:sz="0" w:space="0" w:color="auto"/>
        <w:right w:val="none" w:sz="0" w:space="0" w:color="auto"/>
      </w:divBdr>
      <w:divsChild>
        <w:div w:id="1116096251">
          <w:marLeft w:val="0"/>
          <w:marRight w:val="0"/>
          <w:marTop w:val="0"/>
          <w:marBottom w:val="0"/>
          <w:divBdr>
            <w:top w:val="none" w:sz="0" w:space="0" w:color="auto"/>
            <w:left w:val="none" w:sz="0" w:space="0" w:color="auto"/>
            <w:bottom w:val="none" w:sz="0" w:space="0" w:color="auto"/>
            <w:right w:val="none" w:sz="0" w:space="0" w:color="auto"/>
          </w:divBdr>
        </w:div>
      </w:divsChild>
    </w:div>
    <w:div w:id="903837024">
      <w:bodyDiv w:val="1"/>
      <w:marLeft w:val="0"/>
      <w:marRight w:val="0"/>
      <w:marTop w:val="0"/>
      <w:marBottom w:val="0"/>
      <w:divBdr>
        <w:top w:val="none" w:sz="0" w:space="0" w:color="auto"/>
        <w:left w:val="none" w:sz="0" w:space="0" w:color="auto"/>
        <w:bottom w:val="none" w:sz="0" w:space="0" w:color="auto"/>
        <w:right w:val="none" w:sz="0" w:space="0" w:color="auto"/>
      </w:divBdr>
    </w:div>
    <w:div w:id="1431900107">
      <w:bodyDiv w:val="1"/>
      <w:marLeft w:val="0"/>
      <w:marRight w:val="0"/>
      <w:marTop w:val="0"/>
      <w:marBottom w:val="0"/>
      <w:divBdr>
        <w:top w:val="none" w:sz="0" w:space="0" w:color="auto"/>
        <w:left w:val="none" w:sz="0" w:space="0" w:color="auto"/>
        <w:bottom w:val="none" w:sz="0" w:space="0" w:color="auto"/>
        <w:right w:val="none" w:sz="0" w:space="0" w:color="auto"/>
      </w:divBdr>
    </w:div>
    <w:div w:id="1451365439">
      <w:bodyDiv w:val="1"/>
      <w:marLeft w:val="0"/>
      <w:marRight w:val="0"/>
      <w:marTop w:val="0"/>
      <w:marBottom w:val="0"/>
      <w:divBdr>
        <w:top w:val="none" w:sz="0" w:space="0" w:color="auto"/>
        <w:left w:val="none" w:sz="0" w:space="0" w:color="auto"/>
        <w:bottom w:val="none" w:sz="0" w:space="0" w:color="auto"/>
        <w:right w:val="none" w:sz="0" w:space="0" w:color="auto"/>
      </w:divBdr>
    </w:div>
    <w:div w:id="1453281410">
      <w:bodyDiv w:val="1"/>
      <w:marLeft w:val="0"/>
      <w:marRight w:val="0"/>
      <w:marTop w:val="0"/>
      <w:marBottom w:val="0"/>
      <w:divBdr>
        <w:top w:val="none" w:sz="0" w:space="0" w:color="auto"/>
        <w:left w:val="none" w:sz="0" w:space="0" w:color="auto"/>
        <w:bottom w:val="none" w:sz="0" w:space="0" w:color="auto"/>
        <w:right w:val="none" w:sz="0" w:space="0" w:color="auto"/>
      </w:divBdr>
    </w:div>
    <w:div w:id="1490748711">
      <w:bodyDiv w:val="1"/>
      <w:marLeft w:val="0"/>
      <w:marRight w:val="0"/>
      <w:marTop w:val="0"/>
      <w:marBottom w:val="0"/>
      <w:divBdr>
        <w:top w:val="none" w:sz="0" w:space="0" w:color="auto"/>
        <w:left w:val="none" w:sz="0" w:space="0" w:color="auto"/>
        <w:bottom w:val="none" w:sz="0" w:space="0" w:color="auto"/>
        <w:right w:val="none" w:sz="0" w:space="0" w:color="auto"/>
      </w:divBdr>
      <w:divsChild>
        <w:div w:id="875042853">
          <w:marLeft w:val="0"/>
          <w:marRight w:val="0"/>
          <w:marTop w:val="0"/>
          <w:marBottom w:val="0"/>
          <w:divBdr>
            <w:top w:val="none" w:sz="0" w:space="0" w:color="auto"/>
            <w:left w:val="none" w:sz="0" w:space="0" w:color="auto"/>
            <w:bottom w:val="none" w:sz="0" w:space="0" w:color="auto"/>
            <w:right w:val="none" w:sz="0" w:space="0" w:color="auto"/>
          </w:divBdr>
        </w:div>
      </w:divsChild>
    </w:div>
    <w:div w:id="1553231637">
      <w:bodyDiv w:val="1"/>
      <w:marLeft w:val="0"/>
      <w:marRight w:val="0"/>
      <w:marTop w:val="0"/>
      <w:marBottom w:val="0"/>
      <w:divBdr>
        <w:top w:val="none" w:sz="0" w:space="0" w:color="auto"/>
        <w:left w:val="none" w:sz="0" w:space="0" w:color="auto"/>
        <w:bottom w:val="none" w:sz="0" w:space="0" w:color="auto"/>
        <w:right w:val="none" w:sz="0" w:space="0" w:color="auto"/>
      </w:divBdr>
      <w:divsChild>
        <w:div w:id="1455296622">
          <w:marLeft w:val="0"/>
          <w:marRight w:val="0"/>
          <w:marTop w:val="0"/>
          <w:marBottom w:val="0"/>
          <w:divBdr>
            <w:top w:val="none" w:sz="0" w:space="0" w:color="auto"/>
            <w:left w:val="none" w:sz="0" w:space="0" w:color="auto"/>
            <w:bottom w:val="none" w:sz="0" w:space="0" w:color="auto"/>
            <w:right w:val="none" w:sz="0" w:space="0" w:color="auto"/>
          </w:divBdr>
        </w:div>
      </w:divsChild>
    </w:div>
    <w:div w:id="1820344168">
      <w:bodyDiv w:val="1"/>
      <w:marLeft w:val="0"/>
      <w:marRight w:val="0"/>
      <w:marTop w:val="0"/>
      <w:marBottom w:val="0"/>
      <w:divBdr>
        <w:top w:val="none" w:sz="0" w:space="0" w:color="auto"/>
        <w:left w:val="none" w:sz="0" w:space="0" w:color="auto"/>
        <w:bottom w:val="none" w:sz="0" w:space="0" w:color="auto"/>
        <w:right w:val="none" w:sz="0" w:space="0" w:color="auto"/>
      </w:divBdr>
      <w:divsChild>
        <w:div w:id="193271330">
          <w:marLeft w:val="0"/>
          <w:marRight w:val="0"/>
          <w:marTop w:val="0"/>
          <w:marBottom w:val="0"/>
          <w:divBdr>
            <w:top w:val="none" w:sz="0" w:space="0" w:color="auto"/>
            <w:left w:val="none" w:sz="0" w:space="0" w:color="auto"/>
            <w:bottom w:val="none" w:sz="0" w:space="0" w:color="auto"/>
            <w:right w:val="none" w:sz="0" w:space="0" w:color="auto"/>
          </w:divBdr>
          <w:divsChild>
            <w:div w:id="814031858">
              <w:marLeft w:val="0"/>
              <w:marRight w:val="0"/>
              <w:marTop w:val="0"/>
              <w:marBottom w:val="0"/>
              <w:divBdr>
                <w:top w:val="none" w:sz="0" w:space="0" w:color="auto"/>
                <w:left w:val="none" w:sz="0" w:space="0" w:color="auto"/>
                <w:bottom w:val="none" w:sz="0" w:space="0" w:color="auto"/>
                <w:right w:val="none" w:sz="0" w:space="0" w:color="auto"/>
              </w:divBdr>
              <w:divsChild>
                <w:div w:id="78172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245315">
          <w:marLeft w:val="0"/>
          <w:marRight w:val="0"/>
          <w:marTop w:val="0"/>
          <w:marBottom w:val="0"/>
          <w:divBdr>
            <w:top w:val="none" w:sz="0" w:space="0" w:color="auto"/>
            <w:left w:val="none" w:sz="0" w:space="0" w:color="auto"/>
            <w:bottom w:val="none" w:sz="0" w:space="0" w:color="auto"/>
            <w:right w:val="none" w:sz="0" w:space="0" w:color="auto"/>
          </w:divBdr>
        </w:div>
      </w:divsChild>
    </w:div>
    <w:div w:id="1918592389">
      <w:bodyDiv w:val="1"/>
      <w:marLeft w:val="0"/>
      <w:marRight w:val="0"/>
      <w:marTop w:val="0"/>
      <w:marBottom w:val="0"/>
      <w:divBdr>
        <w:top w:val="none" w:sz="0" w:space="0" w:color="auto"/>
        <w:left w:val="none" w:sz="0" w:space="0" w:color="auto"/>
        <w:bottom w:val="none" w:sz="0" w:space="0" w:color="auto"/>
        <w:right w:val="none" w:sz="0" w:space="0" w:color="auto"/>
      </w:divBdr>
    </w:div>
    <w:div w:id="19615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co.wa.gov/sites/default/files/CRCC%20Outbreak%20Investigation%20Final.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oc.wa.gov/corrections/covid-19/data.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cotusblog.com/reference/educational-resources/supreme-court-procedur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itha@thesmithlaw.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de@thesmithlaw.com" TargetMode="External"/><Relationship Id="rId1" Type="http://schemas.openxmlformats.org/officeDocument/2006/relationships/hyperlink" Target="mailto:sade@thesmithlaw.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4254\AppData\Roaming\Microsoft\Templates\Legal%20pleading%20paper%20(28%20line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25938455EE143D1A606A6BB2296F805"/>
        <w:category>
          <w:name w:val="General"/>
          <w:gallery w:val="placeholder"/>
        </w:category>
        <w:types>
          <w:type w:val="bbPlcHdr"/>
        </w:types>
        <w:behaviors>
          <w:behavior w:val="content"/>
        </w:behaviors>
        <w:guid w:val="{CF842C22-0DB3-4F53-8678-6E1A1DF82BB9}"/>
      </w:docPartPr>
      <w:docPartBody>
        <w:p w:rsidR="00723201" w:rsidRDefault="004F58BF">
          <w:pPr>
            <w:pStyle w:val="025938455EE143D1A606A6BB2296F805"/>
          </w:pPr>
          <w:r>
            <w:t>Plaintiff</w:t>
          </w:r>
        </w:p>
      </w:docPartBody>
    </w:docPart>
    <w:docPart>
      <w:docPartPr>
        <w:name w:val="F2A7BF7D9CA840FCAC679AC6722E1041"/>
        <w:category>
          <w:name w:val="General"/>
          <w:gallery w:val="placeholder"/>
        </w:category>
        <w:types>
          <w:type w:val="bbPlcHdr"/>
        </w:types>
        <w:behaviors>
          <w:behavior w:val="content"/>
        </w:behaviors>
        <w:guid w:val="{B517C8C1-CF8F-4A3C-A301-DFF613983FE3}"/>
      </w:docPartPr>
      <w:docPartBody>
        <w:p w:rsidR="00723201" w:rsidRDefault="004F58BF">
          <w:pPr>
            <w:pStyle w:val="F2A7BF7D9CA840FCAC679AC6722E1041"/>
          </w:pPr>
          <w:r>
            <w:t>vs</w:t>
          </w:r>
        </w:p>
      </w:docPartBody>
    </w:docPart>
    <w:docPart>
      <w:docPartPr>
        <w:name w:val="983A293DE67C4CA6862F0029128F7334"/>
        <w:category>
          <w:name w:val="General"/>
          <w:gallery w:val="placeholder"/>
        </w:category>
        <w:types>
          <w:type w:val="bbPlcHdr"/>
        </w:types>
        <w:behaviors>
          <w:behavior w:val="content"/>
        </w:behaviors>
        <w:guid w:val="{E43A2016-F2D4-43C3-A94B-9277A41AC752}"/>
      </w:docPartPr>
      <w:docPartBody>
        <w:p w:rsidR="00723201" w:rsidRDefault="004F58BF">
          <w:pPr>
            <w:pStyle w:val="983A293DE67C4CA6862F0029128F7334"/>
          </w:pPr>
          <w:r>
            <w:t>Defendant's Name</w:t>
          </w:r>
        </w:p>
      </w:docPartBody>
    </w:docPart>
    <w:docPart>
      <w:docPartPr>
        <w:name w:val="9C990E7F7FF24D8F83E32239A2E7BEDE"/>
        <w:category>
          <w:name w:val="General"/>
          <w:gallery w:val="placeholder"/>
        </w:category>
        <w:types>
          <w:type w:val="bbPlcHdr"/>
        </w:types>
        <w:behaviors>
          <w:behavior w:val="content"/>
        </w:behaviors>
        <w:guid w:val="{0FE0BB42-6E52-4DAA-AB71-ABDFE7666AF1}"/>
      </w:docPartPr>
      <w:docPartBody>
        <w:p w:rsidR="00723201" w:rsidRDefault="004F58BF">
          <w:pPr>
            <w:pStyle w:val="9C990E7F7FF24D8F83E32239A2E7BEDE"/>
          </w:pPr>
          <w:r>
            <w:t>Defendant</w:t>
          </w:r>
        </w:p>
      </w:docPartBody>
    </w:docPart>
    <w:docPart>
      <w:docPartPr>
        <w:name w:val="F8009354BD86418BB60BCDBDFF1DBA7B"/>
        <w:category>
          <w:name w:val="General"/>
          <w:gallery w:val="placeholder"/>
        </w:category>
        <w:types>
          <w:type w:val="bbPlcHdr"/>
        </w:types>
        <w:behaviors>
          <w:behavior w:val="content"/>
        </w:behaviors>
        <w:guid w:val="{41A7984F-86B4-4BD5-B473-41938A685AD8}"/>
      </w:docPartPr>
      <w:docPartBody>
        <w:p w:rsidR="00723201" w:rsidRDefault="004F58BF">
          <w:pPr>
            <w:pStyle w:val="F8009354BD86418BB60BCDBDFF1DBA7B"/>
          </w:pPr>
          <w:r>
            <w:t>Case No.</w:t>
          </w:r>
        </w:p>
      </w:docPartBody>
    </w:docPart>
    <w:docPart>
      <w:docPartPr>
        <w:name w:val="8F64031DE42346C58B0B07BAD4FB0C63"/>
        <w:category>
          <w:name w:val="General"/>
          <w:gallery w:val="placeholder"/>
        </w:category>
        <w:types>
          <w:type w:val="bbPlcHdr"/>
        </w:types>
        <w:behaviors>
          <w:behavior w:val="content"/>
        </w:behaviors>
        <w:guid w:val="{B5C6EEAC-5B9C-46AB-A01C-339C55534EB6}"/>
      </w:docPartPr>
      <w:docPartBody>
        <w:p w:rsidR="00723201" w:rsidRDefault="004F58BF">
          <w:pPr>
            <w:pStyle w:val="8F64031DE42346C58B0B07BAD4FB0C63"/>
          </w:pPr>
          <w:r>
            <w:t>Pleading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harter">
    <w:panose1 w:val="02000503060000020004"/>
    <w:charset w:val="00"/>
    <w:family w:val="moder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Schoolbook">
    <w:altName w:val="Century Schoolbook"/>
    <w:panose1 w:val="02040604050505020304"/>
    <w:charset w:val="00"/>
    <w:family w:val="roman"/>
    <w:pitch w:val="variable"/>
    <w:sig w:usb0="00000287" w:usb1="00000000" w:usb2="00000000" w:usb3="00000000" w:csb0="000000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harter Roman">
    <w:altName w:val="Cambria"/>
    <w:charset w:val="00"/>
    <w:family w:val="roman"/>
    <w:pitch w:val="variable"/>
    <w:sig w:usb0="800000AF" w:usb1="1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8BF"/>
    <w:rsid w:val="003C184E"/>
    <w:rsid w:val="004768F2"/>
    <w:rsid w:val="004F58BF"/>
    <w:rsid w:val="0054082F"/>
    <w:rsid w:val="00590E69"/>
    <w:rsid w:val="006063D1"/>
    <w:rsid w:val="00723201"/>
    <w:rsid w:val="007A7318"/>
    <w:rsid w:val="00945B15"/>
    <w:rsid w:val="00A56A0D"/>
    <w:rsid w:val="00C370D7"/>
    <w:rsid w:val="00D314FE"/>
    <w:rsid w:val="00DD7375"/>
    <w:rsid w:val="00E01D54"/>
    <w:rsid w:val="00FB36A7"/>
    <w:rsid w:val="00FD1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25938455EE143D1A606A6BB2296F805">
    <w:name w:val="025938455EE143D1A606A6BB2296F805"/>
  </w:style>
  <w:style w:type="paragraph" w:customStyle="1" w:styleId="F2A7BF7D9CA840FCAC679AC6722E1041">
    <w:name w:val="F2A7BF7D9CA840FCAC679AC6722E1041"/>
  </w:style>
  <w:style w:type="paragraph" w:customStyle="1" w:styleId="983A293DE67C4CA6862F0029128F7334">
    <w:name w:val="983A293DE67C4CA6862F0029128F7334"/>
  </w:style>
  <w:style w:type="paragraph" w:customStyle="1" w:styleId="9C990E7F7FF24D8F83E32239A2E7BEDE">
    <w:name w:val="9C990E7F7FF24D8F83E32239A2E7BEDE"/>
  </w:style>
  <w:style w:type="paragraph" w:customStyle="1" w:styleId="F8009354BD86418BB60BCDBDFF1DBA7B">
    <w:name w:val="F8009354BD86418BB60BCDBDFF1DBA7B"/>
  </w:style>
  <w:style w:type="paragraph" w:customStyle="1" w:styleId="8F64031DE42346C58B0B07BAD4FB0C63">
    <w:name w:val="8F64031DE42346C58B0B07BAD4FB0C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fe16d1e-ddf4-4e55-86fa-d2a064b1fc85">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E0A7E50606DE94CA8D2DA7E85BFFE9B" ma:contentTypeVersion="12" ma:contentTypeDescription="Create a new document." ma:contentTypeScope="" ma:versionID="7e1cc97f3ac5d70f80de30525e7cac6d">
  <xsd:schema xmlns:xsd="http://www.w3.org/2001/XMLSchema" xmlns:xs="http://www.w3.org/2001/XMLSchema" xmlns:p="http://schemas.microsoft.com/office/2006/metadata/properties" xmlns:ns2="8aedd6e3-e50f-4c3f-88d6-8546dc4f9d78" xmlns:ns3="ffe16d1e-ddf4-4e55-86fa-d2a064b1fc85" targetNamespace="http://schemas.microsoft.com/office/2006/metadata/properties" ma:root="true" ma:fieldsID="9960d1d5d890ea1b714441f3e66a83f6" ns2:_="" ns3:_="">
    <xsd:import namespace="8aedd6e3-e50f-4c3f-88d6-8546dc4f9d78"/>
    <xsd:import namespace="ffe16d1e-ddf4-4e55-86fa-d2a064b1fc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dd6e3-e50f-4c3f-88d6-8546dc4f9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e16d1e-ddf4-4e55-86fa-d2a064b1fc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7A0A4C-81F9-4509-8794-572CCB948066}">
  <ds:schemaRefs>
    <ds:schemaRef ds:uri="http://schemas.microsoft.com/office/2006/metadata/properties"/>
    <ds:schemaRef ds:uri="http://schemas.microsoft.com/office/infopath/2007/PartnerControls"/>
    <ds:schemaRef ds:uri="ffe16d1e-ddf4-4e55-86fa-d2a064b1fc85"/>
  </ds:schemaRefs>
</ds:datastoreItem>
</file>

<file path=customXml/itemProps2.xml><?xml version="1.0" encoding="utf-8"?>
<ds:datastoreItem xmlns:ds="http://schemas.openxmlformats.org/officeDocument/2006/customXml" ds:itemID="{8AA58B2C-E9BD-4E52-9C6A-48BBD8707E71}">
  <ds:schemaRefs>
    <ds:schemaRef ds:uri="http://schemas.microsoft.com/sharepoint/v3/contenttype/forms"/>
  </ds:schemaRefs>
</ds:datastoreItem>
</file>

<file path=customXml/itemProps3.xml><?xml version="1.0" encoding="utf-8"?>
<ds:datastoreItem xmlns:ds="http://schemas.openxmlformats.org/officeDocument/2006/customXml" ds:itemID="{D8388E67-AD8D-4862-A457-5441A7B119A4}">
  <ds:schemaRefs>
    <ds:schemaRef ds:uri="http://schemas.openxmlformats.org/officeDocument/2006/bibliography"/>
  </ds:schemaRefs>
</ds:datastoreItem>
</file>

<file path=customXml/itemProps4.xml><?xml version="1.0" encoding="utf-8"?>
<ds:datastoreItem xmlns:ds="http://schemas.openxmlformats.org/officeDocument/2006/customXml" ds:itemID="{01AE8BF4-5BAD-47D7-9A55-22AC432B6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dd6e3-e50f-4c3f-88d6-8546dc4f9d78"/>
    <ds:schemaRef ds:uri="ffe16d1e-ddf4-4e55-86fa-d2a064b1fc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Legal pleading paper (28 lines)</Template>
  <TotalTime>1</TotalTime>
  <Pages>12</Pages>
  <Words>2167</Words>
  <Characters>12354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REPLY TO STATE’S RESPONSE TO DEFENDANT’S MOTION FOR RELIEF FROM JUDGMENT PURSUANT TO CRR 7.8 AND STATE’S MOTION FOR STAY OF PROCEEDINGS</vt:lpstr>
    </vt:vector>
  </TitlesOfParts>
  <Company/>
  <LinksUpToDate>false</LinksUpToDate>
  <CharactersWithSpaces>14493</CharactersWithSpaces>
  <SharedDoc>false</SharedDoc>
  <HLinks>
    <vt:vector size="12" baseType="variant">
      <vt:variant>
        <vt:i4>7471184</vt:i4>
      </vt:variant>
      <vt:variant>
        <vt:i4>0</vt:i4>
      </vt:variant>
      <vt:variant>
        <vt:i4>0</vt:i4>
      </vt:variant>
      <vt:variant>
        <vt:i4>5</vt:i4>
      </vt:variant>
      <vt:variant>
        <vt:lpwstr>mailto:talitha@thesmithlaw.com</vt:lpwstr>
      </vt:variant>
      <vt:variant>
        <vt:lpwstr/>
      </vt:variant>
      <vt:variant>
        <vt:i4>983102</vt:i4>
      </vt:variant>
      <vt:variant>
        <vt:i4>0</vt:i4>
      </vt:variant>
      <vt:variant>
        <vt:i4>0</vt:i4>
      </vt:variant>
      <vt:variant>
        <vt:i4>5</vt:i4>
      </vt:variant>
      <vt:variant>
        <vt:lpwstr>mailto:sade@thesmithlaw.com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TO STATE’S RESPONSE TO DEFENDANT’S MOTION FOR RELIEF FROM JUDGMENT PURSUANT TO CRR 7.8 AND STATE’S MOTION FOR STAY OF PROCEEDINGS</dc:title>
  <dc:subject/>
  <dc:creator>14254</dc:creator>
  <cp:keywords/>
  <dc:description/>
  <cp:lastModifiedBy>Talitha Hazelton</cp:lastModifiedBy>
  <cp:revision>2</cp:revision>
  <dcterms:created xsi:type="dcterms:W3CDTF">2021-02-02T20:45:00Z</dcterms:created>
  <dcterms:modified xsi:type="dcterms:W3CDTF">2021-02-02T20:45:00Z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0x0101007E0A7E50606DE94CA8D2DA7E85BFFE9B</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Order">
    <vt:r8>26800</vt:r8>
  </property>
  <property fmtid="{D5CDD505-2E9C-101B-9397-08002B2CF9AE}" pid="9" name="ComplianceAssetId">
    <vt:lpwstr/>
  </property>
</Properties>
</file>